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C7926" w14:textId="77777777" w:rsidR="007E41DD" w:rsidRPr="00A50BBE" w:rsidRDefault="007E41DD" w:rsidP="00752961">
      <w:pPr>
        <w:rPr>
          <w:rFonts w:cs="Arial"/>
          <w:sz w:val="22"/>
          <w:szCs w:val="22"/>
        </w:rPr>
      </w:pPr>
    </w:p>
    <w:p w14:paraId="56D16041" w14:textId="77777777" w:rsidR="00A50BBE" w:rsidRDefault="00A50BBE" w:rsidP="00752961">
      <w:pPr>
        <w:rPr>
          <w:rFonts w:cs="Arial"/>
          <w:sz w:val="22"/>
          <w:szCs w:val="22"/>
        </w:rPr>
      </w:pPr>
    </w:p>
    <w:p w14:paraId="0E3D33CF" w14:textId="77777777" w:rsidR="00C326DB" w:rsidRPr="00C326DB" w:rsidRDefault="00C326DB" w:rsidP="00C326DB">
      <w:pPr>
        <w:rPr>
          <w:rFonts w:cs="Arial"/>
          <w:sz w:val="22"/>
          <w:szCs w:val="22"/>
        </w:rPr>
      </w:pPr>
      <w:r w:rsidRPr="00C326DB">
        <w:rPr>
          <w:rFonts w:cs="Arial"/>
          <w:sz w:val="22"/>
          <w:szCs w:val="22"/>
        </w:rPr>
        <w:t>Erkki Keldo</w:t>
      </w:r>
    </w:p>
    <w:p w14:paraId="5160A42E" w14:textId="6F1AA056" w:rsidR="00176D67" w:rsidRDefault="001E2372" w:rsidP="00752961">
      <w:pPr>
        <w:rPr>
          <w:rFonts w:cs="Arial"/>
          <w:sz w:val="22"/>
          <w:szCs w:val="22"/>
        </w:rPr>
      </w:pPr>
      <w:r>
        <w:rPr>
          <w:rFonts w:cs="Arial"/>
          <w:sz w:val="22"/>
          <w:szCs w:val="22"/>
        </w:rPr>
        <w:t>Majandus- ja Kommunikatsiooniministeerium</w:t>
      </w:r>
      <w:r w:rsidR="00176D67" w:rsidRPr="00176D67">
        <w:rPr>
          <w:rFonts w:cs="Arial"/>
          <w:sz w:val="22"/>
          <w:szCs w:val="22"/>
        </w:rPr>
        <w:t xml:space="preserve"> </w:t>
      </w:r>
      <w:r w:rsidR="00176D67">
        <w:rPr>
          <w:rFonts w:cs="Arial"/>
          <w:sz w:val="22"/>
          <w:szCs w:val="22"/>
        </w:rPr>
        <w:tab/>
      </w:r>
      <w:r w:rsidR="00176D67">
        <w:rPr>
          <w:rFonts w:cs="Arial"/>
          <w:sz w:val="22"/>
          <w:szCs w:val="22"/>
        </w:rPr>
        <w:tab/>
      </w:r>
      <w:r w:rsidR="00176D67">
        <w:rPr>
          <w:rFonts w:cs="Arial"/>
          <w:sz w:val="22"/>
          <w:szCs w:val="22"/>
        </w:rPr>
        <w:tab/>
      </w:r>
      <w:r w:rsidR="00176D67">
        <w:rPr>
          <w:rFonts w:cs="Arial"/>
          <w:sz w:val="22"/>
          <w:szCs w:val="22"/>
        </w:rPr>
        <w:tab/>
      </w:r>
      <w:r w:rsidR="00176D67" w:rsidRPr="00A50BBE">
        <w:rPr>
          <w:rFonts w:cs="Arial"/>
          <w:sz w:val="22"/>
          <w:szCs w:val="22"/>
        </w:rPr>
        <w:t xml:space="preserve">Meie </w:t>
      </w:r>
      <w:r>
        <w:rPr>
          <w:rFonts w:cs="Arial"/>
          <w:sz w:val="22"/>
          <w:szCs w:val="22"/>
        </w:rPr>
        <w:t>22.05</w:t>
      </w:r>
      <w:r w:rsidR="00C01F5E">
        <w:rPr>
          <w:rFonts w:cs="Arial"/>
          <w:sz w:val="22"/>
          <w:szCs w:val="22"/>
        </w:rPr>
        <w:t>.2026</w:t>
      </w:r>
    </w:p>
    <w:p w14:paraId="2F7EB733" w14:textId="77777777" w:rsidR="00176D67" w:rsidRDefault="00176D67" w:rsidP="00752961">
      <w:pPr>
        <w:rPr>
          <w:rFonts w:cs="Arial"/>
          <w:sz w:val="22"/>
          <w:szCs w:val="22"/>
        </w:rPr>
      </w:pPr>
    </w:p>
    <w:p w14:paraId="318F4046" w14:textId="77777777" w:rsidR="00C326DB" w:rsidRDefault="00C326DB" w:rsidP="00752961">
      <w:pPr>
        <w:rPr>
          <w:rFonts w:cs="Arial"/>
          <w:sz w:val="22"/>
          <w:szCs w:val="22"/>
        </w:rPr>
      </w:pPr>
    </w:p>
    <w:p w14:paraId="04588D4C" w14:textId="423CCCF2" w:rsidR="004D2C73" w:rsidRPr="00A50BBE" w:rsidRDefault="001D5802" w:rsidP="00752961">
      <w:pPr>
        <w:rPr>
          <w:rFonts w:cs="Arial"/>
          <w:sz w:val="22"/>
          <w:szCs w:val="22"/>
        </w:rPr>
      </w:pPr>
      <w:r w:rsidRPr="00A50BBE">
        <w:rPr>
          <w:rFonts w:cs="Arial"/>
          <w:sz w:val="22"/>
          <w:szCs w:val="22"/>
        </w:rPr>
        <w:tab/>
      </w:r>
      <w:r w:rsidRPr="00A50BBE">
        <w:rPr>
          <w:rFonts w:cs="Arial"/>
          <w:sz w:val="22"/>
          <w:szCs w:val="22"/>
        </w:rPr>
        <w:tab/>
        <w:t xml:space="preserve"> </w:t>
      </w:r>
    </w:p>
    <w:p w14:paraId="46E6FB5C" w14:textId="77777777" w:rsidR="000048A5" w:rsidRPr="00A50BBE" w:rsidRDefault="000048A5" w:rsidP="00752961">
      <w:pPr>
        <w:rPr>
          <w:rFonts w:cs="Arial"/>
          <w:sz w:val="22"/>
          <w:szCs w:val="22"/>
        </w:rPr>
      </w:pPr>
    </w:p>
    <w:p w14:paraId="43C21546" w14:textId="6ACECA63" w:rsidR="000048A5" w:rsidRPr="00A50BBE" w:rsidRDefault="001E2372" w:rsidP="001E2372">
      <w:pPr>
        <w:jc w:val="both"/>
        <w:rPr>
          <w:rFonts w:cs="Arial"/>
          <w:b/>
          <w:bCs/>
          <w:sz w:val="22"/>
          <w:szCs w:val="22"/>
        </w:rPr>
      </w:pPr>
      <w:r>
        <w:rPr>
          <w:rFonts w:cs="Arial"/>
          <w:b/>
          <w:bCs/>
          <w:sz w:val="22"/>
          <w:szCs w:val="22"/>
        </w:rPr>
        <w:t>Arvamus ja ettepanek seoses p</w:t>
      </w:r>
      <w:r w:rsidRPr="001E2372">
        <w:rPr>
          <w:rFonts w:cs="Arial"/>
          <w:b/>
          <w:bCs/>
          <w:sz w:val="22"/>
          <w:szCs w:val="22"/>
        </w:rPr>
        <w:t xml:space="preserve">laneerimisseaduse, ehitusseadustiku ning ehitusseadustiku ja planeerimisseaduse rakendamise seaduse muutmise seaduse </w:t>
      </w:r>
      <w:r>
        <w:rPr>
          <w:rFonts w:cs="Arial"/>
          <w:b/>
          <w:bCs/>
          <w:sz w:val="22"/>
          <w:szCs w:val="22"/>
        </w:rPr>
        <w:t xml:space="preserve">07.05.2026 </w:t>
      </w:r>
      <w:r w:rsidRPr="001E2372">
        <w:rPr>
          <w:rFonts w:cs="Arial"/>
          <w:b/>
          <w:bCs/>
          <w:sz w:val="22"/>
          <w:szCs w:val="22"/>
        </w:rPr>
        <w:t>eelnõu</w:t>
      </w:r>
      <w:r>
        <w:rPr>
          <w:rFonts w:cs="Arial"/>
          <w:b/>
          <w:bCs/>
          <w:sz w:val="22"/>
          <w:szCs w:val="22"/>
        </w:rPr>
        <w:t>ga</w:t>
      </w:r>
    </w:p>
    <w:p w14:paraId="78650A30" w14:textId="77777777" w:rsidR="00434D6F" w:rsidRPr="00A50BBE" w:rsidRDefault="00434D6F" w:rsidP="00752961">
      <w:pPr>
        <w:rPr>
          <w:rFonts w:cs="Arial"/>
          <w:sz w:val="22"/>
          <w:szCs w:val="22"/>
        </w:rPr>
      </w:pPr>
    </w:p>
    <w:p w14:paraId="71F18BE3" w14:textId="5A6D7443" w:rsidR="001E2372" w:rsidRDefault="00AB1AB3" w:rsidP="00284B88">
      <w:pPr>
        <w:jc w:val="both"/>
        <w:rPr>
          <w:rFonts w:cs="Arial"/>
          <w:sz w:val="22"/>
          <w:szCs w:val="22"/>
        </w:rPr>
      </w:pPr>
      <w:bookmarkStart w:id="0" w:name="_Hlk214551767"/>
      <w:r>
        <w:rPr>
          <w:rFonts w:cs="Arial"/>
          <w:sz w:val="22"/>
          <w:szCs w:val="22"/>
        </w:rPr>
        <w:t xml:space="preserve">Eesti Tööandjate Keskliit, </w:t>
      </w:r>
      <w:r w:rsidRPr="00A50BBE">
        <w:rPr>
          <w:rFonts w:cs="Arial"/>
          <w:sz w:val="22"/>
          <w:szCs w:val="22"/>
        </w:rPr>
        <w:t xml:space="preserve"> </w:t>
      </w:r>
      <w:r w:rsidR="00434D6F" w:rsidRPr="00A50BBE">
        <w:rPr>
          <w:rFonts w:cs="Arial"/>
          <w:sz w:val="22"/>
          <w:szCs w:val="22"/>
        </w:rPr>
        <w:t xml:space="preserve">Eesti </w:t>
      </w:r>
      <w:r w:rsidR="00F963C5" w:rsidRPr="00A50BBE">
        <w:rPr>
          <w:rFonts w:cs="Arial"/>
          <w:sz w:val="22"/>
          <w:szCs w:val="22"/>
        </w:rPr>
        <w:t>Ehitusettevõtjate</w:t>
      </w:r>
      <w:r w:rsidR="0019194D" w:rsidRPr="00A50BBE">
        <w:rPr>
          <w:rFonts w:cs="Arial"/>
          <w:sz w:val="22"/>
          <w:szCs w:val="22"/>
        </w:rPr>
        <w:t xml:space="preserve"> Liit</w:t>
      </w:r>
      <w:r>
        <w:rPr>
          <w:rFonts w:cs="Arial"/>
          <w:sz w:val="22"/>
          <w:szCs w:val="22"/>
        </w:rPr>
        <w:t xml:space="preserve"> ja</w:t>
      </w:r>
      <w:r w:rsidR="00F32BD3">
        <w:rPr>
          <w:rFonts w:cs="Arial"/>
          <w:sz w:val="22"/>
          <w:szCs w:val="22"/>
        </w:rPr>
        <w:t xml:space="preserve"> Eesti Kinnisvarafirmade Liit </w:t>
      </w:r>
      <w:bookmarkEnd w:id="0"/>
      <w:r w:rsidR="00D25E1A" w:rsidRPr="00A50BBE">
        <w:rPr>
          <w:rFonts w:cs="Arial"/>
          <w:sz w:val="22"/>
          <w:szCs w:val="22"/>
        </w:rPr>
        <w:t xml:space="preserve">(edaspidi </w:t>
      </w:r>
      <w:r w:rsidR="00D25E1A" w:rsidRPr="00A50BBE">
        <w:rPr>
          <w:rFonts w:cs="Arial"/>
          <w:b/>
          <w:bCs/>
          <w:sz w:val="22"/>
          <w:szCs w:val="22"/>
        </w:rPr>
        <w:t>Lii</w:t>
      </w:r>
      <w:r w:rsidR="00F32BD3">
        <w:rPr>
          <w:rFonts w:cs="Arial"/>
          <w:b/>
          <w:bCs/>
          <w:sz w:val="22"/>
          <w:szCs w:val="22"/>
        </w:rPr>
        <w:t>dud</w:t>
      </w:r>
      <w:r w:rsidR="00D25E1A" w:rsidRPr="00A50BBE">
        <w:rPr>
          <w:rFonts w:cs="Arial"/>
          <w:sz w:val="22"/>
          <w:szCs w:val="22"/>
        </w:rPr>
        <w:t xml:space="preserve">) </w:t>
      </w:r>
      <w:r w:rsidR="00CE6127">
        <w:rPr>
          <w:rFonts w:cs="Arial"/>
          <w:sz w:val="22"/>
          <w:szCs w:val="22"/>
        </w:rPr>
        <w:t xml:space="preserve">on </w:t>
      </w:r>
      <w:r w:rsidR="00176D67">
        <w:rPr>
          <w:rFonts w:cs="Arial"/>
          <w:sz w:val="22"/>
          <w:szCs w:val="22"/>
        </w:rPr>
        <w:t>olnud kaasatud planeerimismenetluse tõhustamise protsessi</w:t>
      </w:r>
      <w:r w:rsidR="00C326DB">
        <w:rPr>
          <w:rFonts w:cs="Arial"/>
          <w:sz w:val="22"/>
          <w:szCs w:val="22"/>
        </w:rPr>
        <w:t xml:space="preserve"> </w:t>
      </w:r>
      <w:r w:rsidR="00C326DB" w:rsidRPr="00C326DB">
        <w:rPr>
          <w:rFonts w:cs="Arial"/>
          <w:sz w:val="22"/>
          <w:szCs w:val="22"/>
        </w:rPr>
        <w:t>ning tänavad seniste planeerimisseaduse muudatuste ja kaasava koostöö eest</w:t>
      </w:r>
      <w:r w:rsidR="00176D67">
        <w:rPr>
          <w:rFonts w:cs="Arial"/>
          <w:sz w:val="22"/>
          <w:szCs w:val="22"/>
        </w:rPr>
        <w:t>.</w:t>
      </w:r>
      <w:r w:rsidR="001E2372">
        <w:rPr>
          <w:rFonts w:cs="Arial"/>
          <w:sz w:val="22"/>
          <w:szCs w:val="22"/>
        </w:rPr>
        <w:t xml:space="preserve"> Majandus- ja Kommunikatsiooniministeerium on 07.05.2026 edastatud Liitudele p</w:t>
      </w:r>
      <w:r w:rsidR="001E2372" w:rsidRPr="001E2372">
        <w:rPr>
          <w:rFonts w:cs="Arial"/>
          <w:sz w:val="22"/>
          <w:szCs w:val="22"/>
        </w:rPr>
        <w:t>laneerimisseaduse, ehitusseadustiku ning ehitusseadustiku ja planeerimisseaduse rakendamise seaduse muutmise seaduse eelnõu</w:t>
      </w:r>
      <w:r w:rsidR="001E2372">
        <w:rPr>
          <w:rFonts w:cs="Arial"/>
          <w:sz w:val="22"/>
          <w:szCs w:val="22"/>
        </w:rPr>
        <w:t>, käesolevaga esitavad Liidud sellele oma arvamuse ja ettepaneku.</w:t>
      </w:r>
    </w:p>
    <w:p w14:paraId="51DA6044" w14:textId="77777777" w:rsidR="001E2372" w:rsidRDefault="001E2372" w:rsidP="00284B88">
      <w:pPr>
        <w:jc w:val="both"/>
        <w:rPr>
          <w:rFonts w:cs="Arial"/>
          <w:sz w:val="22"/>
          <w:szCs w:val="22"/>
        </w:rPr>
      </w:pPr>
      <w:r w:rsidRPr="0009476B">
        <w:rPr>
          <w:rFonts w:cs="Arial"/>
          <w:b/>
          <w:bCs/>
          <w:sz w:val="22"/>
          <w:szCs w:val="22"/>
        </w:rPr>
        <w:t>Punkt 11</w:t>
      </w:r>
      <w:r>
        <w:rPr>
          <w:rFonts w:cs="Arial"/>
          <w:sz w:val="22"/>
          <w:szCs w:val="22"/>
        </w:rPr>
        <w:t>) Liidud teevad ettepaneku täiendada pakutud sõnastusi järgnevalt:</w:t>
      </w:r>
    </w:p>
    <w:p w14:paraId="5E93CE71" w14:textId="3624F80E" w:rsidR="001E2372" w:rsidRPr="001E2372" w:rsidRDefault="00740E6F" w:rsidP="001E2372">
      <w:pPr>
        <w:jc w:val="both"/>
        <w:rPr>
          <w:rFonts w:cs="Arial"/>
          <w:i/>
          <w:iCs/>
          <w:sz w:val="22"/>
          <w:szCs w:val="22"/>
        </w:rPr>
      </w:pPr>
      <w:r>
        <w:rPr>
          <w:rFonts w:cs="Arial"/>
          <w:i/>
          <w:iCs/>
          <w:sz w:val="22"/>
          <w:szCs w:val="22"/>
        </w:rPr>
        <w:t>„</w:t>
      </w:r>
      <w:r w:rsidR="001E2372" w:rsidRPr="001E2372">
        <w:rPr>
          <w:rFonts w:cs="Arial"/>
          <w:i/>
          <w:iCs/>
          <w:sz w:val="22"/>
          <w:szCs w:val="22"/>
        </w:rPr>
        <w:t xml:space="preserve">(2) Detailplaneeringuga lahendatakse </w:t>
      </w:r>
      <w:r w:rsidR="001E2372" w:rsidRPr="001E2372">
        <w:rPr>
          <w:rFonts w:cs="Arial"/>
          <w:i/>
          <w:iCs/>
          <w:sz w:val="22"/>
          <w:szCs w:val="22"/>
          <w:highlight w:val="yellow"/>
        </w:rPr>
        <w:t>põhjendatud</w:t>
      </w:r>
      <w:r w:rsidR="00DB7968">
        <w:rPr>
          <w:rStyle w:val="FootnoteReference"/>
          <w:rFonts w:cs="Arial"/>
          <w:i/>
          <w:iCs/>
          <w:sz w:val="22"/>
          <w:szCs w:val="22"/>
          <w:highlight w:val="yellow"/>
        </w:rPr>
        <w:footnoteReference w:id="1"/>
      </w:r>
      <w:r w:rsidR="001E2372">
        <w:rPr>
          <w:rFonts w:cs="Arial"/>
          <w:i/>
          <w:iCs/>
          <w:sz w:val="22"/>
          <w:szCs w:val="22"/>
        </w:rPr>
        <w:t xml:space="preserve"> </w:t>
      </w:r>
      <w:r w:rsidR="001E2372" w:rsidRPr="001E2372">
        <w:rPr>
          <w:rFonts w:cs="Arial"/>
          <w:i/>
          <w:iCs/>
          <w:sz w:val="22"/>
          <w:szCs w:val="22"/>
        </w:rPr>
        <w:t xml:space="preserve">vajadusel järgmised ülesanded: </w:t>
      </w:r>
    </w:p>
    <w:p w14:paraId="6763B9DD" w14:textId="7190992E" w:rsidR="001E2372" w:rsidRPr="001E2372" w:rsidRDefault="001E2372" w:rsidP="001E2372">
      <w:pPr>
        <w:jc w:val="both"/>
        <w:rPr>
          <w:rFonts w:cs="Arial"/>
          <w:i/>
          <w:iCs/>
          <w:sz w:val="22"/>
          <w:szCs w:val="22"/>
        </w:rPr>
      </w:pPr>
      <w:r w:rsidRPr="001E2372">
        <w:rPr>
          <w:rFonts w:cs="Arial"/>
          <w:i/>
          <w:iCs/>
          <w:sz w:val="22"/>
          <w:szCs w:val="22"/>
        </w:rPr>
        <w:t xml:space="preserve">1) ehitise arhitektuuriliste ja kujunduslike </w:t>
      </w:r>
      <w:r w:rsidRPr="001E2372">
        <w:rPr>
          <w:rFonts w:cs="Arial"/>
          <w:i/>
          <w:iCs/>
          <w:sz w:val="22"/>
          <w:szCs w:val="22"/>
          <w:highlight w:val="yellow"/>
        </w:rPr>
        <w:t>põhimõtete</w:t>
      </w:r>
      <w:r w:rsidR="00DB7968">
        <w:rPr>
          <w:rStyle w:val="FootnoteReference"/>
          <w:rFonts w:cs="Arial"/>
          <w:i/>
          <w:iCs/>
          <w:sz w:val="22"/>
          <w:szCs w:val="22"/>
          <w:highlight w:val="yellow"/>
        </w:rPr>
        <w:footnoteReference w:id="2"/>
      </w:r>
      <w:r>
        <w:rPr>
          <w:rFonts w:cs="Arial"/>
          <w:i/>
          <w:iCs/>
          <w:sz w:val="22"/>
          <w:szCs w:val="22"/>
        </w:rPr>
        <w:t xml:space="preserve"> </w:t>
      </w:r>
      <w:r w:rsidRPr="001E2372">
        <w:rPr>
          <w:rFonts w:cs="Arial"/>
          <w:i/>
          <w:iCs/>
          <w:sz w:val="22"/>
          <w:szCs w:val="22"/>
        </w:rPr>
        <w:t xml:space="preserve">määramine; </w:t>
      </w:r>
    </w:p>
    <w:p w14:paraId="77DE33F1" w14:textId="77777777" w:rsidR="001E2372" w:rsidRPr="001E2372" w:rsidRDefault="001E2372" w:rsidP="001E2372">
      <w:pPr>
        <w:jc w:val="both"/>
        <w:rPr>
          <w:rFonts w:cs="Arial"/>
          <w:i/>
          <w:iCs/>
          <w:sz w:val="22"/>
          <w:szCs w:val="22"/>
        </w:rPr>
      </w:pPr>
      <w:r w:rsidRPr="001E2372">
        <w:rPr>
          <w:rFonts w:cs="Arial"/>
          <w:i/>
          <w:iCs/>
          <w:sz w:val="22"/>
          <w:szCs w:val="22"/>
        </w:rPr>
        <w:t xml:space="preserve">2) liikluskorralduse põhimõtete määramine; </w:t>
      </w:r>
    </w:p>
    <w:p w14:paraId="227B8A88" w14:textId="77777777" w:rsidR="001E2372" w:rsidRPr="001E2372" w:rsidRDefault="001E2372" w:rsidP="001E2372">
      <w:pPr>
        <w:jc w:val="both"/>
        <w:rPr>
          <w:rFonts w:cs="Arial"/>
          <w:i/>
          <w:iCs/>
          <w:sz w:val="22"/>
          <w:szCs w:val="22"/>
        </w:rPr>
      </w:pPr>
      <w:r w:rsidRPr="001E2372">
        <w:rPr>
          <w:rFonts w:cs="Arial"/>
          <w:i/>
          <w:iCs/>
          <w:sz w:val="22"/>
          <w:szCs w:val="22"/>
        </w:rPr>
        <w:t xml:space="preserve">3) haljastuse ja heakorrastuse põhimõtete määramine; </w:t>
      </w:r>
    </w:p>
    <w:p w14:paraId="1E487F8D" w14:textId="3ADA8B52" w:rsidR="001E2372" w:rsidRPr="001E2372" w:rsidRDefault="001E2372" w:rsidP="001E2372">
      <w:pPr>
        <w:jc w:val="both"/>
        <w:rPr>
          <w:rFonts w:cs="Arial"/>
          <w:i/>
          <w:iCs/>
          <w:sz w:val="22"/>
          <w:szCs w:val="22"/>
        </w:rPr>
      </w:pPr>
      <w:r w:rsidRPr="001E2372">
        <w:rPr>
          <w:rFonts w:cs="Arial"/>
          <w:i/>
          <w:iCs/>
          <w:sz w:val="22"/>
          <w:szCs w:val="22"/>
        </w:rPr>
        <w:t xml:space="preserve">4) kallasrajale avaliku juurdepääsu tagamine või selle puudumise korral vähima vajaliku </w:t>
      </w:r>
      <w:r w:rsidR="00DB7968">
        <w:rPr>
          <w:rFonts w:cs="Arial"/>
          <w:i/>
          <w:iCs/>
          <w:sz w:val="22"/>
          <w:szCs w:val="22"/>
        </w:rPr>
        <w:t>t</w:t>
      </w:r>
      <w:r w:rsidRPr="001E2372">
        <w:rPr>
          <w:rFonts w:cs="Arial"/>
          <w:i/>
          <w:iCs/>
          <w:sz w:val="22"/>
          <w:szCs w:val="22"/>
        </w:rPr>
        <w:t>eeninduspiirkonna</w:t>
      </w:r>
      <w:r>
        <w:rPr>
          <w:rFonts w:cs="Arial"/>
          <w:i/>
          <w:iCs/>
          <w:sz w:val="22"/>
          <w:szCs w:val="22"/>
        </w:rPr>
        <w:t xml:space="preserve"> </w:t>
      </w:r>
      <w:r w:rsidRPr="001E2372">
        <w:rPr>
          <w:rFonts w:cs="Arial"/>
          <w:i/>
          <w:iCs/>
          <w:sz w:val="22"/>
          <w:szCs w:val="22"/>
          <w:highlight w:val="yellow"/>
        </w:rPr>
        <w:t>põhimõtete</w:t>
      </w:r>
      <w:r w:rsidR="00DB7968">
        <w:rPr>
          <w:rStyle w:val="FootnoteReference"/>
          <w:rFonts w:cs="Arial"/>
          <w:i/>
          <w:iCs/>
          <w:sz w:val="22"/>
          <w:szCs w:val="22"/>
          <w:highlight w:val="yellow"/>
        </w:rPr>
        <w:footnoteReference w:id="3"/>
      </w:r>
      <w:r w:rsidRPr="001E2372">
        <w:rPr>
          <w:rFonts w:cs="Arial"/>
          <w:i/>
          <w:iCs/>
          <w:sz w:val="22"/>
          <w:szCs w:val="22"/>
        </w:rPr>
        <w:t xml:space="preserve"> määramine; </w:t>
      </w:r>
    </w:p>
    <w:p w14:paraId="5E51FE4A" w14:textId="77777777" w:rsidR="001E2372" w:rsidRPr="001E2372" w:rsidRDefault="001E2372" w:rsidP="001E2372">
      <w:pPr>
        <w:jc w:val="both"/>
        <w:rPr>
          <w:rFonts w:cs="Arial"/>
          <w:i/>
          <w:iCs/>
          <w:sz w:val="22"/>
          <w:szCs w:val="22"/>
        </w:rPr>
      </w:pPr>
      <w:r w:rsidRPr="001E2372">
        <w:rPr>
          <w:rFonts w:cs="Arial"/>
          <w:i/>
          <w:iCs/>
          <w:sz w:val="22"/>
          <w:szCs w:val="22"/>
        </w:rPr>
        <w:t xml:space="preserve">5) turvalisust tagavate põhimõtete määramine; </w:t>
      </w:r>
    </w:p>
    <w:p w14:paraId="1DD095CC" w14:textId="03AE791B" w:rsidR="001E2372" w:rsidRPr="001E2372" w:rsidRDefault="001E2372" w:rsidP="001E2372">
      <w:pPr>
        <w:jc w:val="both"/>
        <w:rPr>
          <w:rFonts w:cs="Arial"/>
          <w:i/>
          <w:iCs/>
          <w:sz w:val="22"/>
          <w:szCs w:val="22"/>
        </w:rPr>
      </w:pPr>
      <w:r w:rsidRPr="001E2372">
        <w:rPr>
          <w:rFonts w:cs="Arial"/>
          <w:i/>
          <w:iCs/>
          <w:sz w:val="22"/>
          <w:szCs w:val="22"/>
        </w:rPr>
        <w:t>6) müra</w:t>
      </w:r>
      <w:r w:rsidRPr="001E2372">
        <w:rPr>
          <w:rFonts w:ascii="Cambria Math" w:hAnsi="Cambria Math" w:cs="Cambria Math"/>
          <w:i/>
          <w:iCs/>
          <w:sz w:val="22"/>
          <w:szCs w:val="22"/>
        </w:rPr>
        <w:t>‑</w:t>
      </w:r>
      <w:r w:rsidRPr="001E2372">
        <w:rPr>
          <w:rFonts w:cs="Arial"/>
          <w:i/>
          <w:iCs/>
          <w:sz w:val="22"/>
          <w:szCs w:val="22"/>
        </w:rPr>
        <w:t>, vibratsiooni</w:t>
      </w:r>
      <w:r w:rsidRPr="001E2372">
        <w:rPr>
          <w:rFonts w:ascii="Cambria Math" w:hAnsi="Cambria Math" w:cs="Cambria Math"/>
          <w:i/>
          <w:iCs/>
          <w:sz w:val="22"/>
          <w:szCs w:val="22"/>
        </w:rPr>
        <w:t>‑</w:t>
      </w:r>
      <w:r w:rsidRPr="001E2372">
        <w:rPr>
          <w:rFonts w:cs="Arial"/>
          <w:i/>
          <w:iCs/>
          <w:sz w:val="22"/>
          <w:szCs w:val="22"/>
        </w:rPr>
        <w:t>, saasteriski</w:t>
      </w:r>
      <w:r w:rsidRPr="001E2372">
        <w:rPr>
          <w:rFonts w:ascii="Cambria Math" w:hAnsi="Cambria Math" w:cs="Cambria Math"/>
          <w:i/>
          <w:iCs/>
          <w:sz w:val="22"/>
          <w:szCs w:val="22"/>
        </w:rPr>
        <w:t>‑</w:t>
      </w:r>
      <w:r w:rsidRPr="001E2372">
        <w:rPr>
          <w:rFonts w:cs="Arial"/>
          <w:i/>
          <w:iCs/>
          <w:sz w:val="22"/>
          <w:szCs w:val="22"/>
        </w:rPr>
        <w:t xml:space="preserve"> ja insolatsioonitingimusi ning muid keskkonnatingimusi </w:t>
      </w:r>
      <w:r w:rsidR="00DB7968">
        <w:rPr>
          <w:rFonts w:cs="Arial"/>
          <w:i/>
          <w:iCs/>
          <w:sz w:val="22"/>
          <w:szCs w:val="22"/>
        </w:rPr>
        <w:t xml:space="preserve"> </w:t>
      </w:r>
      <w:r w:rsidRPr="001E2372">
        <w:rPr>
          <w:rFonts w:cs="Arial"/>
          <w:i/>
          <w:iCs/>
          <w:sz w:val="22"/>
          <w:szCs w:val="22"/>
        </w:rPr>
        <w:t xml:space="preserve">tagavate </w:t>
      </w:r>
      <w:r w:rsidRPr="001E2372">
        <w:rPr>
          <w:rFonts w:cs="Arial"/>
          <w:i/>
          <w:iCs/>
          <w:sz w:val="22"/>
          <w:szCs w:val="22"/>
          <w:highlight w:val="yellow"/>
        </w:rPr>
        <w:t>põhimõtete määramine</w:t>
      </w:r>
      <w:r w:rsidR="00DB7968">
        <w:rPr>
          <w:rStyle w:val="FootnoteReference"/>
          <w:rFonts w:cs="Arial"/>
          <w:i/>
          <w:iCs/>
          <w:sz w:val="22"/>
          <w:szCs w:val="22"/>
          <w:highlight w:val="yellow"/>
        </w:rPr>
        <w:footnoteReference w:id="4"/>
      </w:r>
      <w:r w:rsidRPr="001E2372">
        <w:rPr>
          <w:rFonts w:cs="Arial"/>
          <w:i/>
          <w:iCs/>
          <w:sz w:val="22"/>
          <w:szCs w:val="22"/>
        </w:rPr>
        <w:t xml:space="preserve">; </w:t>
      </w:r>
    </w:p>
    <w:p w14:paraId="660F7BF0" w14:textId="77777777" w:rsidR="001E2372" w:rsidRPr="001E2372" w:rsidRDefault="001E2372" w:rsidP="001E2372">
      <w:pPr>
        <w:jc w:val="both"/>
        <w:rPr>
          <w:rFonts w:cs="Arial"/>
          <w:i/>
          <w:iCs/>
          <w:sz w:val="22"/>
          <w:szCs w:val="22"/>
        </w:rPr>
      </w:pPr>
      <w:r w:rsidRPr="001E2372">
        <w:rPr>
          <w:rFonts w:cs="Arial"/>
          <w:i/>
          <w:iCs/>
          <w:sz w:val="22"/>
          <w:szCs w:val="22"/>
        </w:rPr>
        <w:t xml:space="preserve">7) maaparandussüsteemi toimimise põhimõtete määramine; </w:t>
      </w:r>
    </w:p>
    <w:p w14:paraId="1E36B678" w14:textId="38215406" w:rsidR="001E2372" w:rsidRPr="001E2372" w:rsidRDefault="001E2372" w:rsidP="001E2372">
      <w:pPr>
        <w:jc w:val="both"/>
        <w:rPr>
          <w:rFonts w:cs="Arial"/>
          <w:i/>
          <w:iCs/>
          <w:sz w:val="22"/>
          <w:szCs w:val="22"/>
        </w:rPr>
      </w:pPr>
      <w:r w:rsidRPr="001E2372">
        <w:rPr>
          <w:rFonts w:cs="Arial"/>
          <w:i/>
          <w:iCs/>
          <w:sz w:val="22"/>
          <w:szCs w:val="22"/>
        </w:rPr>
        <w:lastRenderedPageBreak/>
        <w:t>8) miljööväärtuslike alade, väärtuslike üksikobjektide ja väärtuslike põllumajandusmaade määramine ning nende kaitse</w:t>
      </w:r>
      <w:r w:rsidRPr="001E2372">
        <w:rPr>
          <w:rFonts w:ascii="Cambria Math" w:hAnsi="Cambria Math" w:cs="Cambria Math"/>
          <w:i/>
          <w:iCs/>
          <w:sz w:val="22"/>
          <w:szCs w:val="22"/>
        </w:rPr>
        <w:t>‑</w:t>
      </w:r>
      <w:r w:rsidRPr="001E2372">
        <w:rPr>
          <w:rFonts w:cs="Arial"/>
          <w:i/>
          <w:iCs/>
          <w:sz w:val="22"/>
          <w:szCs w:val="22"/>
        </w:rPr>
        <w:t xml:space="preserve"> ja kasutustingimuste seadmine, kui need ei ole üldplaneeringuga määratud; </w:t>
      </w:r>
    </w:p>
    <w:p w14:paraId="3402ED11" w14:textId="77777777" w:rsidR="001E2372" w:rsidRPr="001E2372" w:rsidRDefault="001E2372" w:rsidP="001E2372">
      <w:pPr>
        <w:jc w:val="both"/>
        <w:rPr>
          <w:rFonts w:cs="Arial"/>
          <w:i/>
          <w:iCs/>
          <w:sz w:val="22"/>
          <w:szCs w:val="22"/>
        </w:rPr>
      </w:pPr>
      <w:r w:rsidRPr="001E2372">
        <w:rPr>
          <w:rFonts w:cs="Arial"/>
          <w:i/>
          <w:iCs/>
          <w:sz w:val="22"/>
          <w:szCs w:val="22"/>
        </w:rPr>
        <w:t xml:space="preserve">9) ranna ja kalda ehituskeeluvööndi vähendamine; </w:t>
      </w:r>
    </w:p>
    <w:p w14:paraId="074E7953" w14:textId="71A129F1" w:rsidR="001E2372" w:rsidRPr="001E2372" w:rsidRDefault="001E2372" w:rsidP="001E2372">
      <w:pPr>
        <w:jc w:val="both"/>
        <w:rPr>
          <w:rFonts w:cs="Arial"/>
          <w:i/>
          <w:iCs/>
          <w:sz w:val="22"/>
          <w:szCs w:val="22"/>
        </w:rPr>
      </w:pPr>
      <w:r w:rsidRPr="001E2372">
        <w:rPr>
          <w:rFonts w:cs="Arial"/>
          <w:i/>
          <w:iCs/>
          <w:sz w:val="22"/>
          <w:szCs w:val="22"/>
        </w:rPr>
        <w:t xml:space="preserve">10) servituutide seadmise ja olemasoleva või kavandatava tee avalikult kasutatavaks teeks määramise vajaduse märkimine; </w:t>
      </w:r>
    </w:p>
    <w:p w14:paraId="68911388" w14:textId="77777777" w:rsidR="001E2372" w:rsidRPr="001E2372" w:rsidRDefault="001E2372" w:rsidP="001E2372">
      <w:pPr>
        <w:jc w:val="both"/>
        <w:rPr>
          <w:rFonts w:cs="Arial"/>
          <w:i/>
          <w:iCs/>
          <w:sz w:val="22"/>
          <w:szCs w:val="22"/>
        </w:rPr>
      </w:pPr>
      <w:r w:rsidRPr="001E2372">
        <w:rPr>
          <w:rFonts w:cs="Arial"/>
          <w:i/>
          <w:iCs/>
          <w:sz w:val="22"/>
          <w:szCs w:val="22"/>
        </w:rPr>
        <w:t xml:space="preserve">11) arhitektuurivõistluse nõudega alade või juhtude määramine; </w:t>
      </w:r>
    </w:p>
    <w:p w14:paraId="34AE30F5" w14:textId="0DADB401" w:rsidR="001E2372" w:rsidRPr="001E2372" w:rsidRDefault="001E2372" w:rsidP="001E2372">
      <w:pPr>
        <w:jc w:val="both"/>
        <w:rPr>
          <w:rFonts w:cs="Arial"/>
          <w:i/>
          <w:iCs/>
          <w:sz w:val="22"/>
          <w:szCs w:val="22"/>
        </w:rPr>
      </w:pPr>
      <w:r w:rsidRPr="001E2372">
        <w:rPr>
          <w:rFonts w:cs="Arial"/>
          <w:i/>
          <w:iCs/>
          <w:sz w:val="22"/>
          <w:szCs w:val="22"/>
        </w:rPr>
        <w:t xml:space="preserve">12) eraõigusliku isiku kinnisasja või selle osa avalikult kasutatavaks alaks määramise vajaduse või avalikes huvides omandamise, sealhulgas sundvõõrandamise või sundvalduse seadmise vajaduse määramine; </w:t>
      </w:r>
    </w:p>
    <w:p w14:paraId="1D0A386B" w14:textId="2152BC3D" w:rsidR="001E2372" w:rsidRPr="001E2372" w:rsidRDefault="001E2372" w:rsidP="001E2372">
      <w:pPr>
        <w:jc w:val="both"/>
        <w:rPr>
          <w:rFonts w:cs="Arial"/>
          <w:i/>
          <w:iCs/>
          <w:sz w:val="22"/>
          <w:szCs w:val="22"/>
        </w:rPr>
      </w:pPr>
      <w:r w:rsidRPr="001E2372">
        <w:rPr>
          <w:rFonts w:cs="Arial"/>
          <w:i/>
          <w:iCs/>
          <w:sz w:val="22"/>
          <w:szCs w:val="22"/>
        </w:rPr>
        <w:t xml:space="preserve">13) põhjendatud juhul tingimuste seadmine </w:t>
      </w:r>
      <w:r w:rsidRPr="00DB7968">
        <w:rPr>
          <w:rFonts w:cs="Arial"/>
          <w:i/>
          <w:iCs/>
          <w:sz w:val="22"/>
          <w:szCs w:val="22"/>
          <w:highlight w:val="yellow"/>
        </w:rPr>
        <w:t>mitteehitusloakohustuslike ehitistele</w:t>
      </w:r>
      <w:r w:rsidR="00DB7968">
        <w:rPr>
          <w:rStyle w:val="FootnoteReference"/>
          <w:rFonts w:cs="Arial"/>
          <w:i/>
          <w:iCs/>
          <w:sz w:val="22"/>
          <w:szCs w:val="22"/>
          <w:highlight w:val="yellow"/>
        </w:rPr>
        <w:footnoteReference w:id="5"/>
      </w:r>
      <w:r w:rsidR="00DB7968" w:rsidRPr="00DB7968">
        <w:rPr>
          <w:rFonts w:cs="Arial"/>
          <w:i/>
          <w:iCs/>
          <w:sz w:val="22"/>
          <w:szCs w:val="22"/>
          <w:highlight w:val="yellow"/>
        </w:rPr>
        <w:t>;</w:t>
      </w:r>
      <w:r w:rsidRPr="001E2372">
        <w:rPr>
          <w:rFonts w:cs="Arial"/>
          <w:i/>
          <w:iCs/>
          <w:sz w:val="22"/>
          <w:szCs w:val="22"/>
        </w:rPr>
        <w:t xml:space="preserve"> </w:t>
      </w:r>
    </w:p>
    <w:p w14:paraId="1997469A" w14:textId="77777777" w:rsidR="00DB7968" w:rsidRDefault="001E2372" w:rsidP="001E2372">
      <w:pPr>
        <w:jc w:val="both"/>
        <w:rPr>
          <w:rFonts w:cs="Arial"/>
          <w:i/>
          <w:iCs/>
          <w:sz w:val="22"/>
          <w:szCs w:val="22"/>
        </w:rPr>
      </w:pPr>
      <w:r w:rsidRPr="001E2372">
        <w:rPr>
          <w:rFonts w:cs="Arial"/>
          <w:i/>
          <w:iCs/>
          <w:sz w:val="22"/>
          <w:szCs w:val="22"/>
        </w:rPr>
        <w:t>14) hoonete või olulise avaliku huviga rajatiste suurim lubatud sügavus, kui see on vajalik ehitise kasutuse, mõju või asukoha tõttu;</w:t>
      </w:r>
    </w:p>
    <w:p w14:paraId="5DC6F2D7" w14:textId="4FB4699C" w:rsidR="001E2372" w:rsidRPr="001E2372" w:rsidRDefault="00DB7968" w:rsidP="001E2372">
      <w:pPr>
        <w:jc w:val="both"/>
        <w:rPr>
          <w:rFonts w:cs="Arial"/>
          <w:i/>
          <w:iCs/>
          <w:sz w:val="22"/>
          <w:szCs w:val="22"/>
        </w:rPr>
      </w:pPr>
      <w:r w:rsidRPr="00DB7968">
        <w:rPr>
          <w:rFonts w:cs="Arial"/>
          <w:i/>
          <w:iCs/>
          <w:sz w:val="22"/>
          <w:szCs w:val="22"/>
          <w:highlight w:val="yellow"/>
        </w:rPr>
        <w:t>15) hoonete suurima lubatud arvu määramine, kui see on vajalik hoonete kasutuse, mõju või asukoha tõttu</w:t>
      </w:r>
      <w:r w:rsidR="00D9057F">
        <w:rPr>
          <w:rStyle w:val="FootnoteReference"/>
          <w:rFonts w:cs="Arial"/>
          <w:i/>
          <w:iCs/>
          <w:sz w:val="22"/>
          <w:szCs w:val="22"/>
          <w:highlight w:val="yellow"/>
        </w:rPr>
        <w:footnoteReference w:id="6"/>
      </w:r>
      <w:r w:rsidRPr="00DB7968">
        <w:rPr>
          <w:rFonts w:cs="Arial"/>
          <w:i/>
          <w:iCs/>
          <w:sz w:val="22"/>
          <w:szCs w:val="22"/>
          <w:highlight w:val="yellow"/>
        </w:rPr>
        <w:t>;</w:t>
      </w:r>
    </w:p>
    <w:p w14:paraId="7A7A11DD" w14:textId="238BCD3A" w:rsidR="001E2372" w:rsidRPr="00DB7968" w:rsidRDefault="001E2372" w:rsidP="001E2372">
      <w:pPr>
        <w:jc w:val="both"/>
        <w:rPr>
          <w:rFonts w:cs="Arial"/>
          <w:strike/>
          <w:sz w:val="22"/>
          <w:szCs w:val="22"/>
        </w:rPr>
      </w:pPr>
      <w:r w:rsidRPr="00DB7968">
        <w:rPr>
          <w:rFonts w:cs="Arial"/>
          <w:i/>
          <w:iCs/>
          <w:strike/>
          <w:sz w:val="22"/>
          <w:szCs w:val="22"/>
          <w:highlight w:val="yellow"/>
        </w:rPr>
        <w:t>15) muud käesoleva paragrahvi lõigetes 1 ja 2 nimetatud ülesannetega seonduvad ülesanded.“;</w:t>
      </w:r>
      <w:r w:rsidR="00D9057F" w:rsidRPr="00C326DB">
        <w:rPr>
          <w:rStyle w:val="FootnoteReference"/>
          <w:rFonts w:cs="Arial"/>
          <w:i/>
          <w:iCs/>
          <w:sz w:val="22"/>
          <w:szCs w:val="22"/>
          <w:highlight w:val="yellow"/>
        </w:rPr>
        <w:footnoteReference w:id="7"/>
      </w:r>
      <w:r w:rsidR="00740E6F">
        <w:rPr>
          <w:rFonts w:cs="Arial"/>
          <w:i/>
          <w:iCs/>
          <w:strike/>
          <w:sz w:val="22"/>
          <w:szCs w:val="22"/>
        </w:rPr>
        <w:t>“</w:t>
      </w:r>
    </w:p>
    <w:p w14:paraId="56E411AE" w14:textId="77777777" w:rsidR="00D9057F" w:rsidRDefault="00D9057F" w:rsidP="00284B88">
      <w:pPr>
        <w:jc w:val="both"/>
        <w:rPr>
          <w:rFonts w:cs="Arial"/>
          <w:sz w:val="22"/>
          <w:szCs w:val="22"/>
        </w:rPr>
      </w:pPr>
      <w:r w:rsidRPr="0009476B">
        <w:rPr>
          <w:rFonts w:cs="Arial"/>
          <w:b/>
          <w:bCs/>
          <w:sz w:val="22"/>
          <w:szCs w:val="22"/>
        </w:rPr>
        <w:t>Punkt 12</w:t>
      </w:r>
      <w:r>
        <w:rPr>
          <w:rFonts w:cs="Arial"/>
          <w:sz w:val="22"/>
          <w:szCs w:val="22"/>
        </w:rPr>
        <w:t>) Liidud teevad ettepaneku lisada:</w:t>
      </w:r>
    </w:p>
    <w:p w14:paraId="5CBE9565" w14:textId="52B92434" w:rsidR="00D9057F" w:rsidRDefault="00740E6F" w:rsidP="00284B88">
      <w:pPr>
        <w:jc w:val="both"/>
        <w:rPr>
          <w:rFonts w:cs="Arial"/>
          <w:sz w:val="22"/>
          <w:szCs w:val="22"/>
        </w:rPr>
      </w:pPr>
      <w:r>
        <w:rPr>
          <w:rFonts w:cs="Arial"/>
          <w:i/>
          <w:iCs/>
          <w:sz w:val="22"/>
          <w:szCs w:val="22"/>
        </w:rPr>
        <w:t>„</w:t>
      </w:r>
      <w:r w:rsidR="00D9057F" w:rsidRPr="00D9057F">
        <w:rPr>
          <w:rFonts w:cs="Arial"/>
          <w:i/>
          <w:iCs/>
          <w:sz w:val="22"/>
          <w:szCs w:val="22"/>
        </w:rPr>
        <w:t xml:space="preserve">paragrahvi 126 lõike 4 punktid </w:t>
      </w:r>
      <w:r w:rsidR="00D9057F" w:rsidRPr="00D9057F">
        <w:rPr>
          <w:rFonts w:cs="Arial"/>
          <w:i/>
          <w:iCs/>
          <w:sz w:val="22"/>
          <w:szCs w:val="22"/>
          <w:highlight w:val="yellow"/>
        </w:rPr>
        <w:t>2 ja</w:t>
      </w:r>
      <w:r w:rsidR="0009476B">
        <w:rPr>
          <w:rStyle w:val="FootnoteReference"/>
          <w:rFonts w:cs="Arial"/>
          <w:i/>
          <w:iCs/>
          <w:sz w:val="22"/>
          <w:szCs w:val="22"/>
          <w:highlight w:val="yellow"/>
        </w:rPr>
        <w:footnoteReference w:id="8"/>
      </w:r>
      <w:r w:rsidR="00D9057F" w:rsidRPr="00D9057F">
        <w:rPr>
          <w:rFonts w:cs="Arial"/>
          <w:i/>
          <w:iCs/>
          <w:sz w:val="22"/>
          <w:szCs w:val="22"/>
        </w:rPr>
        <w:t xml:space="preserve"> 5 tunnistatakse kehtetuks</w:t>
      </w:r>
      <w:r w:rsidR="00D9057F" w:rsidRPr="00D9057F">
        <w:rPr>
          <w:rFonts w:cs="Arial"/>
          <w:sz w:val="22"/>
          <w:szCs w:val="22"/>
        </w:rPr>
        <w:t>;</w:t>
      </w:r>
      <w:r>
        <w:rPr>
          <w:rFonts w:cs="Arial"/>
          <w:sz w:val="22"/>
          <w:szCs w:val="22"/>
        </w:rPr>
        <w:t>“</w:t>
      </w:r>
    </w:p>
    <w:p w14:paraId="39875AE3" w14:textId="0005FA37" w:rsidR="00D9057F" w:rsidRDefault="00740E6F" w:rsidP="00284B88">
      <w:pPr>
        <w:jc w:val="both"/>
        <w:rPr>
          <w:rFonts w:cs="Arial"/>
          <w:sz w:val="22"/>
          <w:szCs w:val="22"/>
        </w:rPr>
      </w:pPr>
      <w:r>
        <w:rPr>
          <w:rFonts w:cs="Arial"/>
          <w:sz w:val="22"/>
          <w:szCs w:val="22"/>
        </w:rPr>
        <w:t>A</w:t>
      </w:r>
      <w:r w:rsidR="00D9057F">
        <w:rPr>
          <w:rFonts w:cs="Arial"/>
          <w:sz w:val="22"/>
          <w:szCs w:val="22"/>
        </w:rPr>
        <w:t>lternatiivselt</w:t>
      </w:r>
      <w:r w:rsidR="00EC1D04">
        <w:rPr>
          <w:rFonts w:cs="Arial"/>
          <w:sz w:val="22"/>
          <w:szCs w:val="22"/>
        </w:rPr>
        <w:t>, kui eelnevalt pakutud punkti 11 alapunkt 15) ettepanekuga ei arvestada,</w:t>
      </w:r>
      <w:r w:rsidR="00D9057F">
        <w:rPr>
          <w:rFonts w:cs="Arial"/>
          <w:sz w:val="22"/>
          <w:szCs w:val="22"/>
        </w:rPr>
        <w:t xml:space="preserve"> teevad Liidud ettepaneku sõnastada paragrahvi 126 lg 4 p 2 järgnevalt:</w:t>
      </w:r>
    </w:p>
    <w:p w14:paraId="28114BCC" w14:textId="6C7EC389" w:rsidR="00D9057F" w:rsidRDefault="00740E6F" w:rsidP="00284B88">
      <w:pPr>
        <w:jc w:val="both"/>
        <w:rPr>
          <w:rFonts w:cs="Arial"/>
          <w:sz w:val="22"/>
          <w:szCs w:val="22"/>
        </w:rPr>
      </w:pPr>
      <w:r>
        <w:rPr>
          <w:rFonts w:cs="Arial"/>
          <w:sz w:val="22"/>
          <w:szCs w:val="22"/>
          <w:highlight w:val="yellow"/>
        </w:rPr>
        <w:t>„</w:t>
      </w:r>
      <w:r w:rsidR="0009476B" w:rsidRPr="0009476B">
        <w:rPr>
          <w:rFonts w:cs="Arial"/>
          <w:sz w:val="22"/>
          <w:szCs w:val="22"/>
          <w:highlight w:val="yellow"/>
        </w:rPr>
        <w:t>ehitusloakohustuslike hoonete või olulise avaliku huviga rajatiste suurim lubatud arv või nende puudumine maa-alal</w:t>
      </w:r>
      <w:r w:rsidR="00EC1D04">
        <w:rPr>
          <w:rStyle w:val="FootnoteReference"/>
          <w:rFonts w:cs="Arial"/>
          <w:sz w:val="22"/>
          <w:szCs w:val="22"/>
          <w:highlight w:val="yellow"/>
        </w:rPr>
        <w:footnoteReference w:id="9"/>
      </w:r>
      <w:r w:rsidR="0009476B">
        <w:rPr>
          <w:rFonts w:cs="Arial"/>
          <w:sz w:val="22"/>
          <w:szCs w:val="22"/>
        </w:rPr>
        <w:t>.</w:t>
      </w:r>
      <w:r>
        <w:rPr>
          <w:rFonts w:cs="Arial"/>
          <w:sz w:val="22"/>
          <w:szCs w:val="22"/>
        </w:rPr>
        <w:t>“</w:t>
      </w:r>
    </w:p>
    <w:p w14:paraId="4BE2CF99" w14:textId="4E207BF1" w:rsidR="0009476B" w:rsidRDefault="0009476B" w:rsidP="00284B88">
      <w:pPr>
        <w:jc w:val="both"/>
        <w:rPr>
          <w:rFonts w:cs="Arial"/>
          <w:sz w:val="22"/>
          <w:szCs w:val="22"/>
        </w:rPr>
      </w:pPr>
      <w:r w:rsidRPr="000C3FD8">
        <w:rPr>
          <w:rFonts w:cs="Arial"/>
          <w:b/>
          <w:bCs/>
          <w:sz w:val="22"/>
          <w:szCs w:val="22"/>
        </w:rPr>
        <w:t>Punkt 15)</w:t>
      </w:r>
      <w:r>
        <w:rPr>
          <w:rFonts w:cs="Arial"/>
          <w:sz w:val="22"/>
          <w:szCs w:val="22"/>
        </w:rPr>
        <w:t xml:space="preserve"> Liidud teevad ettepaneku lisada:</w:t>
      </w:r>
    </w:p>
    <w:p w14:paraId="6C946118" w14:textId="691816C6" w:rsidR="0009476B" w:rsidRPr="0009476B" w:rsidRDefault="00740E6F" w:rsidP="0009476B">
      <w:pPr>
        <w:jc w:val="both"/>
        <w:rPr>
          <w:rFonts w:cs="Arial"/>
          <w:i/>
          <w:iCs/>
          <w:sz w:val="22"/>
          <w:szCs w:val="22"/>
        </w:rPr>
      </w:pPr>
      <w:r>
        <w:rPr>
          <w:rFonts w:cs="Arial"/>
          <w:i/>
          <w:iCs/>
          <w:sz w:val="22"/>
          <w:szCs w:val="22"/>
        </w:rPr>
        <w:t>„</w:t>
      </w:r>
      <w:r w:rsidR="0009476B" w:rsidRPr="0009476B">
        <w:rPr>
          <w:rFonts w:cs="Arial"/>
          <w:i/>
          <w:iCs/>
          <w:sz w:val="22"/>
          <w:szCs w:val="22"/>
        </w:rPr>
        <w:t>(4</w:t>
      </w:r>
      <w:r w:rsidR="0009476B" w:rsidRPr="0009476B">
        <w:rPr>
          <w:rFonts w:cs="Arial"/>
          <w:i/>
          <w:iCs/>
          <w:sz w:val="22"/>
          <w:szCs w:val="22"/>
          <w:vertAlign w:val="superscript"/>
        </w:rPr>
        <w:t>1</w:t>
      </w:r>
      <w:r w:rsidR="0009476B" w:rsidRPr="0009476B">
        <w:rPr>
          <w:rFonts w:cs="Arial"/>
          <w:i/>
          <w:iCs/>
          <w:sz w:val="22"/>
          <w:szCs w:val="22"/>
        </w:rPr>
        <w:t xml:space="preserve">) Detailplaneering algatatakse või jäetakse algatamata 90 päeva jooksul detailplaneeringu </w:t>
      </w:r>
    </w:p>
    <w:p w14:paraId="135DC5E4" w14:textId="77777777" w:rsidR="0009476B" w:rsidRPr="0009476B" w:rsidRDefault="0009476B" w:rsidP="0009476B">
      <w:pPr>
        <w:jc w:val="both"/>
        <w:rPr>
          <w:rFonts w:cs="Arial"/>
          <w:i/>
          <w:iCs/>
          <w:sz w:val="22"/>
          <w:szCs w:val="22"/>
        </w:rPr>
      </w:pPr>
      <w:r w:rsidRPr="0009476B">
        <w:rPr>
          <w:rFonts w:cs="Arial"/>
          <w:i/>
          <w:iCs/>
          <w:sz w:val="22"/>
          <w:szCs w:val="22"/>
        </w:rPr>
        <w:t xml:space="preserve">algatamise taotluse saamisest arvates juhul, kui: </w:t>
      </w:r>
    </w:p>
    <w:p w14:paraId="0F7D6C29" w14:textId="77777777" w:rsidR="0009476B" w:rsidRPr="0009476B" w:rsidRDefault="0009476B" w:rsidP="0009476B">
      <w:pPr>
        <w:jc w:val="both"/>
        <w:rPr>
          <w:rFonts w:cs="Arial"/>
          <w:i/>
          <w:iCs/>
          <w:sz w:val="22"/>
          <w:szCs w:val="22"/>
        </w:rPr>
      </w:pPr>
      <w:r w:rsidRPr="0009476B">
        <w:rPr>
          <w:rFonts w:cs="Arial"/>
          <w:i/>
          <w:iCs/>
          <w:sz w:val="22"/>
          <w:szCs w:val="22"/>
        </w:rPr>
        <w:t xml:space="preserve">1) detailplaneeringu algatamisel otsustatakse algatada keskkonnamõju strateegiline hindamine; </w:t>
      </w:r>
    </w:p>
    <w:p w14:paraId="142227B6" w14:textId="63A3A03F" w:rsidR="0009476B" w:rsidRPr="0009476B" w:rsidRDefault="0009476B" w:rsidP="0009476B">
      <w:pPr>
        <w:jc w:val="both"/>
        <w:rPr>
          <w:rFonts w:cs="Arial"/>
          <w:i/>
          <w:iCs/>
          <w:sz w:val="22"/>
          <w:szCs w:val="22"/>
        </w:rPr>
      </w:pPr>
      <w:r w:rsidRPr="0009476B">
        <w:rPr>
          <w:rFonts w:cs="Arial"/>
          <w:i/>
          <w:iCs/>
          <w:sz w:val="22"/>
          <w:szCs w:val="22"/>
        </w:rPr>
        <w:lastRenderedPageBreak/>
        <w:t xml:space="preserve">2) detailplaneeringu algatamise taotlus sisaldab kehtestatud üldplaneeringu põhilahenduse  muutmise ettepanekut; </w:t>
      </w:r>
    </w:p>
    <w:p w14:paraId="7D5A2F9B" w14:textId="049A725C" w:rsidR="0009476B" w:rsidRPr="0009476B" w:rsidRDefault="0009476B" w:rsidP="0009476B">
      <w:pPr>
        <w:jc w:val="both"/>
        <w:rPr>
          <w:rFonts w:cs="Arial"/>
          <w:i/>
          <w:iCs/>
          <w:strike/>
          <w:sz w:val="22"/>
          <w:szCs w:val="22"/>
          <w:highlight w:val="yellow"/>
        </w:rPr>
      </w:pPr>
      <w:r w:rsidRPr="0009476B">
        <w:rPr>
          <w:rFonts w:cs="Arial"/>
          <w:i/>
          <w:iCs/>
          <w:strike/>
          <w:sz w:val="22"/>
          <w:szCs w:val="22"/>
          <w:highlight w:val="yellow"/>
        </w:rPr>
        <w:t xml:space="preserve">3) esineb käesoleva seaduse § 128 lõikest 2 tulenevate asjaolude väljaselgitamise vajadus; </w:t>
      </w:r>
    </w:p>
    <w:p w14:paraId="59210D84" w14:textId="0338782F" w:rsidR="0009476B" w:rsidRPr="0009476B" w:rsidRDefault="0009476B" w:rsidP="0009476B">
      <w:pPr>
        <w:jc w:val="both"/>
        <w:rPr>
          <w:rFonts w:cs="Arial"/>
          <w:strike/>
          <w:sz w:val="22"/>
          <w:szCs w:val="22"/>
        </w:rPr>
      </w:pPr>
      <w:r w:rsidRPr="0009476B">
        <w:rPr>
          <w:rFonts w:cs="Arial"/>
          <w:i/>
          <w:iCs/>
          <w:strike/>
          <w:sz w:val="22"/>
          <w:szCs w:val="22"/>
          <w:highlight w:val="yellow"/>
        </w:rPr>
        <w:t>4) esinevad muud põhjendatud asjaolud.</w:t>
      </w:r>
      <w:r w:rsidRPr="0009476B">
        <w:rPr>
          <w:rFonts w:cs="Arial"/>
          <w:strike/>
          <w:sz w:val="22"/>
          <w:szCs w:val="22"/>
          <w:highlight w:val="yellow"/>
        </w:rPr>
        <w:t>;</w:t>
      </w:r>
      <w:r w:rsidRPr="00C326DB">
        <w:rPr>
          <w:rStyle w:val="FootnoteReference"/>
          <w:rFonts w:cs="Arial"/>
          <w:sz w:val="22"/>
          <w:szCs w:val="22"/>
          <w:highlight w:val="yellow"/>
        </w:rPr>
        <w:footnoteReference w:id="10"/>
      </w:r>
      <w:r w:rsidR="00740E6F">
        <w:rPr>
          <w:rFonts w:cs="Arial"/>
          <w:strike/>
          <w:sz w:val="22"/>
          <w:szCs w:val="22"/>
        </w:rPr>
        <w:t>“</w:t>
      </w:r>
    </w:p>
    <w:p w14:paraId="43768027" w14:textId="77777777" w:rsidR="000C3FD8" w:rsidRDefault="000C3FD8" w:rsidP="00284B88">
      <w:pPr>
        <w:jc w:val="both"/>
        <w:rPr>
          <w:rFonts w:cs="Arial"/>
          <w:sz w:val="22"/>
          <w:szCs w:val="22"/>
        </w:rPr>
      </w:pPr>
      <w:r w:rsidRPr="000C3FD8">
        <w:rPr>
          <w:rFonts w:cs="Arial"/>
          <w:b/>
          <w:bCs/>
          <w:sz w:val="22"/>
          <w:szCs w:val="22"/>
        </w:rPr>
        <w:t>Punkt 17)</w:t>
      </w:r>
      <w:r>
        <w:rPr>
          <w:rFonts w:cs="Arial"/>
          <w:sz w:val="22"/>
          <w:szCs w:val="22"/>
        </w:rPr>
        <w:t xml:space="preserve"> Liidud teevad ettepaneku lisada:</w:t>
      </w:r>
    </w:p>
    <w:p w14:paraId="6A222659" w14:textId="5D5AF1CC" w:rsidR="000C3FD8" w:rsidRDefault="00740E6F" w:rsidP="00284B88">
      <w:pPr>
        <w:jc w:val="both"/>
        <w:rPr>
          <w:rFonts w:cs="Arial"/>
          <w:sz w:val="22"/>
          <w:szCs w:val="22"/>
        </w:rPr>
      </w:pPr>
      <w:r>
        <w:rPr>
          <w:rFonts w:cs="Arial"/>
          <w:sz w:val="22"/>
          <w:szCs w:val="22"/>
        </w:rPr>
        <w:t>„</w:t>
      </w:r>
      <w:r w:rsidR="000C3FD8">
        <w:rPr>
          <w:rFonts w:cs="Arial"/>
          <w:sz w:val="22"/>
          <w:szCs w:val="22"/>
        </w:rPr>
        <w:t xml:space="preserve">Paragrahvi 133 </w:t>
      </w:r>
      <w:r w:rsidR="00053FE1">
        <w:rPr>
          <w:rFonts w:cs="Arial"/>
          <w:sz w:val="22"/>
          <w:szCs w:val="22"/>
        </w:rPr>
        <w:t>lõige 1 sõnastada järgnevalt</w:t>
      </w:r>
    </w:p>
    <w:p w14:paraId="5C5CFC01" w14:textId="3B9FBB40" w:rsidR="00053FE1" w:rsidRPr="00053FE1" w:rsidRDefault="00053FE1" w:rsidP="00284B88">
      <w:pPr>
        <w:jc w:val="both"/>
        <w:rPr>
          <w:rFonts w:cs="Arial"/>
          <w:i/>
          <w:iCs/>
          <w:sz w:val="22"/>
          <w:szCs w:val="22"/>
        </w:rPr>
      </w:pPr>
      <w:r w:rsidRPr="00053FE1">
        <w:rPr>
          <w:rFonts w:cs="Arial"/>
          <w:i/>
          <w:iCs/>
          <w:sz w:val="22"/>
          <w:szCs w:val="22"/>
        </w:rPr>
        <w:t xml:space="preserve">Detailplaneering esitatakse kooskõlastamiseks käesoleva seaduse § 127 lõikes 1 nimetatud asutustele ning teavitatakse § 127 lõikes 2 nimetatud isikuid ja asutusi võimalusest avaldada detailplaneeringu kohta arvamust, </w:t>
      </w:r>
      <w:r w:rsidRPr="00053FE1">
        <w:rPr>
          <w:rFonts w:cs="Arial"/>
          <w:i/>
          <w:iCs/>
          <w:sz w:val="22"/>
          <w:szCs w:val="22"/>
          <w:highlight w:val="yellow"/>
        </w:rPr>
        <w:t>mis peab olema esitatud tervikuna. Teistkordselt esitatakse detailplaneering kooskõlastamiseks või arvamuse avaldamiseks vaid detailplaneeringu põhilahenduse olulise muutmise korral</w:t>
      </w:r>
      <w:r>
        <w:rPr>
          <w:rStyle w:val="FootnoteReference"/>
          <w:rFonts w:cs="Arial"/>
          <w:i/>
          <w:iCs/>
          <w:sz w:val="22"/>
          <w:szCs w:val="22"/>
          <w:highlight w:val="yellow"/>
        </w:rPr>
        <w:footnoteReference w:id="11"/>
      </w:r>
      <w:r w:rsidRPr="00053FE1">
        <w:rPr>
          <w:rFonts w:cs="Arial"/>
          <w:i/>
          <w:iCs/>
          <w:sz w:val="22"/>
          <w:szCs w:val="22"/>
        </w:rPr>
        <w:t>.</w:t>
      </w:r>
      <w:r w:rsidR="00740E6F">
        <w:rPr>
          <w:rFonts w:cs="Arial"/>
          <w:i/>
          <w:iCs/>
          <w:sz w:val="22"/>
          <w:szCs w:val="22"/>
        </w:rPr>
        <w:t>“</w:t>
      </w:r>
    </w:p>
    <w:p w14:paraId="13247DC5" w14:textId="77777777" w:rsidR="00053FE1" w:rsidRDefault="00053FE1" w:rsidP="00284B88">
      <w:pPr>
        <w:jc w:val="both"/>
        <w:rPr>
          <w:rFonts w:cs="Arial"/>
          <w:sz w:val="22"/>
          <w:szCs w:val="22"/>
        </w:rPr>
      </w:pPr>
    </w:p>
    <w:p w14:paraId="5F25A921" w14:textId="10151071" w:rsidR="00053FE1" w:rsidRDefault="00053FE1" w:rsidP="00284B88">
      <w:pPr>
        <w:jc w:val="both"/>
        <w:rPr>
          <w:rFonts w:cs="Arial"/>
          <w:sz w:val="22"/>
          <w:szCs w:val="22"/>
        </w:rPr>
      </w:pPr>
      <w:r>
        <w:rPr>
          <w:rFonts w:cs="Arial"/>
          <w:sz w:val="22"/>
          <w:szCs w:val="22"/>
        </w:rPr>
        <w:t>Lisaks teevad Liidud ettepaneku lisada eelnõusse punkt seoses paragrahvi 125 lõike 1 sõnastusega ja asendada senine sõnastus järgnevalt:</w:t>
      </w:r>
    </w:p>
    <w:p w14:paraId="31BC7CEB" w14:textId="59F62238" w:rsidR="00053FE1" w:rsidRDefault="00740E6F" w:rsidP="00284B88">
      <w:pPr>
        <w:jc w:val="both"/>
        <w:rPr>
          <w:rFonts w:cs="Arial"/>
          <w:sz w:val="22"/>
          <w:szCs w:val="22"/>
        </w:rPr>
      </w:pPr>
      <w:r>
        <w:rPr>
          <w:rFonts w:cs="Arial"/>
          <w:i/>
          <w:iCs/>
          <w:sz w:val="22"/>
          <w:szCs w:val="22"/>
        </w:rPr>
        <w:t>„</w:t>
      </w:r>
      <w:r w:rsidR="00053FE1" w:rsidRPr="00053FE1">
        <w:rPr>
          <w:rFonts w:cs="Arial"/>
          <w:i/>
          <w:iCs/>
          <w:sz w:val="22"/>
          <w:szCs w:val="22"/>
        </w:rPr>
        <w:t xml:space="preserve">Detailplaneeringu koostamine on nõutav </w:t>
      </w:r>
      <w:r w:rsidR="00053FE1" w:rsidRPr="00053FE1">
        <w:rPr>
          <w:rFonts w:cs="Arial"/>
          <w:i/>
          <w:iCs/>
          <w:sz w:val="22"/>
          <w:szCs w:val="22"/>
          <w:highlight w:val="yellow"/>
        </w:rPr>
        <w:t>üldplaneeringus määratud detailplaneeringu koostamise kohustusega aladel või juhtudel ehitusloakohustusliku</w:t>
      </w:r>
      <w:r w:rsidR="00053FE1">
        <w:rPr>
          <w:rFonts w:cs="Arial"/>
          <w:sz w:val="22"/>
          <w:szCs w:val="22"/>
        </w:rPr>
        <w:t>:</w:t>
      </w:r>
      <w:r>
        <w:rPr>
          <w:rFonts w:cs="Arial"/>
          <w:sz w:val="22"/>
          <w:szCs w:val="22"/>
        </w:rPr>
        <w:t xml:space="preserve"> …“</w:t>
      </w:r>
      <w:r w:rsidR="00053FE1">
        <w:rPr>
          <w:rFonts w:cs="Arial"/>
          <w:sz w:val="22"/>
          <w:szCs w:val="22"/>
        </w:rPr>
        <w:t xml:space="preserve"> </w:t>
      </w:r>
    </w:p>
    <w:p w14:paraId="04895E18" w14:textId="77777777" w:rsidR="00F330E1" w:rsidRDefault="00053FE1" w:rsidP="00284B88">
      <w:pPr>
        <w:jc w:val="both"/>
        <w:rPr>
          <w:rFonts w:cs="Arial"/>
          <w:sz w:val="22"/>
          <w:szCs w:val="22"/>
        </w:rPr>
      </w:pPr>
      <w:r>
        <w:rPr>
          <w:rFonts w:cs="Arial"/>
          <w:sz w:val="22"/>
          <w:szCs w:val="22"/>
        </w:rPr>
        <w:t>Ettepanek on põhjendatud ja planeerimismenetluste tõhustamisel olulise tähtsusega</w:t>
      </w:r>
      <w:r w:rsidR="00F330E1">
        <w:rPr>
          <w:rFonts w:cs="Arial"/>
          <w:sz w:val="22"/>
          <w:szCs w:val="22"/>
        </w:rPr>
        <w:t>:</w:t>
      </w:r>
    </w:p>
    <w:p w14:paraId="5C13013B" w14:textId="5101AD4D" w:rsidR="00F330E1" w:rsidRDefault="00053FE1" w:rsidP="00F330E1">
      <w:pPr>
        <w:pStyle w:val="ListParagraph"/>
        <w:numPr>
          <w:ilvl w:val="0"/>
          <w:numId w:val="14"/>
        </w:numPr>
        <w:jc w:val="both"/>
        <w:rPr>
          <w:rFonts w:cs="Arial"/>
          <w:sz w:val="22"/>
          <w:szCs w:val="22"/>
        </w:rPr>
      </w:pPr>
      <w:r w:rsidRPr="00F330E1">
        <w:rPr>
          <w:rFonts w:cs="Arial"/>
          <w:sz w:val="22"/>
          <w:szCs w:val="22"/>
        </w:rPr>
        <w:t xml:space="preserve">selline sõnastus </w:t>
      </w:r>
      <w:r w:rsidR="00F330E1">
        <w:rPr>
          <w:rFonts w:cs="Arial"/>
          <w:sz w:val="22"/>
          <w:szCs w:val="22"/>
        </w:rPr>
        <w:t xml:space="preserve">viib </w:t>
      </w:r>
      <w:r w:rsidRPr="00F330E1">
        <w:rPr>
          <w:rFonts w:cs="Arial"/>
          <w:sz w:val="22"/>
          <w:szCs w:val="22"/>
        </w:rPr>
        <w:t xml:space="preserve">detailplaneeringu koostamise kohustuse kooskõlla </w:t>
      </w:r>
      <w:r w:rsidR="00F330E1" w:rsidRPr="00F330E1">
        <w:rPr>
          <w:rFonts w:cs="Arial"/>
          <w:sz w:val="22"/>
          <w:szCs w:val="22"/>
        </w:rPr>
        <w:t>paragrahvi § 75 lõike 1 punktiga 26, mis sätestab, et üldplaneeringu ülesanne on detailplaneeringu koostamise kohustusega alade või juhtude määramin</w:t>
      </w:r>
      <w:r w:rsidR="00F330E1">
        <w:rPr>
          <w:rFonts w:cs="Arial"/>
          <w:sz w:val="22"/>
          <w:szCs w:val="22"/>
        </w:rPr>
        <w:t>e</w:t>
      </w:r>
      <w:r w:rsidR="00521E02">
        <w:rPr>
          <w:rFonts w:cs="Arial"/>
          <w:sz w:val="22"/>
          <w:szCs w:val="22"/>
        </w:rPr>
        <w:t xml:space="preserve"> (hetkel piirab selle ülesande sisulist ja tegelikult vajadusepõhist lahendamist üldplaneeringus </w:t>
      </w:r>
      <w:r w:rsidR="00521E02" w:rsidRPr="00521E02">
        <w:rPr>
          <w:rFonts w:cs="Arial"/>
          <w:sz w:val="22"/>
          <w:szCs w:val="22"/>
        </w:rPr>
        <w:t>§</w:t>
      </w:r>
      <w:r w:rsidR="00521E02">
        <w:rPr>
          <w:rFonts w:cs="Arial"/>
          <w:sz w:val="22"/>
          <w:szCs w:val="22"/>
        </w:rPr>
        <w:t xml:space="preserve">  125 lg 1 oma sõnastusega määrates ära, et </w:t>
      </w:r>
      <w:r w:rsidR="00521E02" w:rsidRPr="00521E02">
        <w:rPr>
          <w:rFonts w:cs="Arial"/>
          <w:sz w:val="22"/>
          <w:szCs w:val="22"/>
        </w:rPr>
        <w:t>linnade</w:t>
      </w:r>
      <w:r w:rsidR="00521E02">
        <w:rPr>
          <w:rFonts w:cs="Arial"/>
          <w:sz w:val="22"/>
          <w:szCs w:val="22"/>
        </w:rPr>
        <w:t>s</w:t>
      </w:r>
      <w:r w:rsidR="00521E02" w:rsidRPr="00521E02">
        <w:rPr>
          <w:rFonts w:cs="Arial"/>
          <w:sz w:val="22"/>
          <w:szCs w:val="22"/>
        </w:rPr>
        <w:t xml:space="preserve"> kui asustusüksuste</w:t>
      </w:r>
      <w:r w:rsidR="00521E02">
        <w:rPr>
          <w:rFonts w:cs="Arial"/>
          <w:sz w:val="22"/>
          <w:szCs w:val="22"/>
        </w:rPr>
        <w:t>s</w:t>
      </w:r>
      <w:r w:rsidR="00521E02" w:rsidRPr="00521E02">
        <w:rPr>
          <w:rFonts w:cs="Arial"/>
          <w:sz w:val="22"/>
          <w:szCs w:val="22"/>
        </w:rPr>
        <w:t>, alevite</w:t>
      </w:r>
      <w:r w:rsidR="00521E02">
        <w:rPr>
          <w:rFonts w:cs="Arial"/>
          <w:sz w:val="22"/>
          <w:szCs w:val="22"/>
        </w:rPr>
        <w:t>s</w:t>
      </w:r>
      <w:r w:rsidR="00521E02" w:rsidRPr="00521E02">
        <w:rPr>
          <w:rFonts w:cs="Arial"/>
          <w:sz w:val="22"/>
          <w:szCs w:val="22"/>
        </w:rPr>
        <w:t xml:space="preserve"> ja alevike</w:t>
      </w:r>
      <w:r w:rsidR="00521E02">
        <w:rPr>
          <w:rFonts w:cs="Arial"/>
          <w:sz w:val="22"/>
          <w:szCs w:val="22"/>
        </w:rPr>
        <w:t>s on detailplaneeringu koostamine reeglina kohustuslik)</w:t>
      </w:r>
      <w:r w:rsidR="00B617A9">
        <w:rPr>
          <w:rFonts w:cs="Arial"/>
          <w:sz w:val="22"/>
          <w:szCs w:val="22"/>
        </w:rPr>
        <w:t>. Teisisõnu lähtub Liitude ettepanek planeeringute hierarhilisuse põhimõttest</w:t>
      </w:r>
      <w:r w:rsidR="00F330E1">
        <w:rPr>
          <w:rFonts w:cs="Arial"/>
          <w:sz w:val="22"/>
          <w:szCs w:val="22"/>
        </w:rPr>
        <w:t>;</w:t>
      </w:r>
    </w:p>
    <w:p w14:paraId="42E61734" w14:textId="02A42F3F" w:rsidR="00053FE1" w:rsidRDefault="00F330E1" w:rsidP="00F330E1">
      <w:pPr>
        <w:pStyle w:val="ListParagraph"/>
        <w:numPr>
          <w:ilvl w:val="0"/>
          <w:numId w:val="14"/>
        </w:numPr>
        <w:jc w:val="both"/>
        <w:rPr>
          <w:rFonts w:cs="Arial"/>
          <w:sz w:val="22"/>
          <w:szCs w:val="22"/>
        </w:rPr>
      </w:pPr>
      <w:r w:rsidRPr="00F330E1">
        <w:rPr>
          <w:rFonts w:cs="Arial"/>
          <w:sz w:val="22"/>
          <w:szCs w:val="22"/>
        </w:rPr>
        <w:t xml:space="preserve">see </w:t>
      </w:r>
      <w:r>
        <w:rPr>
          <w:rFonts w:cs="Arial"/>
          <w:sz w:val="22"/>
          <w:szCs w:val="22"/>
        </w:rPr>
        <w:t xml:space="preserve">annab </w:t>
      </w:r>
      <w:r w:rsidRPr="00F330E1">
        <w:rPr>
          <w:rFonts w:cs="Arial"/>
          <w:sz w:val="22"/>
          <w:szCs w:val="22"/>
        </w:rPr>
        <w:t>koheselt võimaluse kohalikele omavalitsustele määrata koostatavates üldplaneeringutes detailplaneeringu koostamise kohustusega alad põhjendatud vajaduse järgi, mitte kohustuslikuna lähtuvalt sellest, et tegemist on linnade kui asustusüksuste, alevite ja alevikega</w:t>
      </w:r>
      <w:r>
        <w:rPr>
          <w:rFonts w:cs="Arial"/>
          <w:sz w:val="22"/>
          <w:szCs w:val="22"/>
        </w:rPr>
        <w:t>. Kohalikud omavalitsused, kus on ajakohased üldplaneeringud on juba kehtestatud, saavad lähtuda kehtivast üldplaneeringust ning määrata detailplaneeringu koostamise põhjendatud kohustusega alad kas üldplaneeringu teemaplaneeringuga või hiljem, uue üldplaneeringu koostamisega;</w:t>
      </w:r>
    </w:p>
    <w:p w14:paraId="17A94A7C" w14:textId="3A450660" w:rsidR="00F330E1" w:rsidRDefault="00F330E1" w:rsidP="00F330E1">
      <w:pPr>
        <w:pStyle w:val="ListParagraph"/>
        <w:numPr>
          <w:ilvl w:val="0"/>
          <w:numId w:val="14"/>
        </w:numPr>
        <w:jc w:val="both"/>
        <w:rPr>
          <w:rFonts w:cs="Arial"/>
          <w:sz w:val="22"/>
          <w:szCs w:val="22"/>
        </w:rPr>
      </w:pPr>
      <w:r>
        <w:rPr>
          <w:rFonts w:cs="Arial"/>
          <w:sz w:val="22"/>
          <w:szCs w:val="22"/>
        </w:rPr>
        <w:lastRenderedPageBreak/>
        <w:t xml:space="preserve">Teadaolevalt on enam kui 50% kohalikes omavalitsustes, sh Tallinnas ja </w:t>
      </w:r>
      <w:r w:rsidR="00521E02">
        <w:rPr>
          <w:rFonts w:cs="Arial"/>
          <w:sz w:val="22"/>
          <w:szCs w:val="22"/>
        </w:rPr>
        <w:t>mitmes Harjumaa omavalitsuses</w:t>
      </w:r>
      <w:r>
        <w:rPr>
          <w:rFonts w:cs="Arial"/>
          <w:sz w:val="22"/>
          <w:szCs w:val="22"/>
        </w:rPr>
        <w:t xml:space="preserve"> üldplaneeringute ajakohastamine alles pooleli, seega oleks Liitude ettepanek menetluste tõhustamise ja kohalike omavalitsuste halduskoormuse </w:t>
      </w:r>
      <w:r w:rsidR="00B617A9">
        <w:rPr>
          <w:rFonts w:cs="Arial"/>
          <w:sz w:val="22"/>
          <w:szCs w:val="22"/>
        </w:rPr>
        <w:t xml:space="preserve">(ja HMS </w:t>
      </w:r>
      <w:r w:rsidR="00B617A9" w:rsidRPr="00B617A9">
        <w:rPr>
          <w:rFonts w:cs="Arial"/>
          <w:sz w:val="22"/>
          <w:szCs w:val="22"/>
        </w:rPr>
        <w:t>§ 5</w:t>
      </w:r>
      <w:r w:rsidR="00B617A9">
        <w:rPr>
          <w:rFonts w:cs="Arial"/>
          <w:sz w:val="22"/>
          <w:szCs w:val="22"/>
        </w:rPr>
        <w:t xml:space="preserve"> lg-st 2 tulenevat põhimõtet toetav) </w:t>
      </w:r>
      <w:r>
        <w:rPr>
          <w:rFonts w:cs="Arial"/>
          <w:sz w:val="22"/>
          <w:szCs w:val="22"/>
        </w:rPr>
        <w:t xml:space="preserve">vähendamise seisukohast olulise tähtsusega. </w:t>
      </w:r>
      <w:r w:rsidR="00B617A9">
        <w:rPr>
          <w:rFonts w:cs="Arial"/>
          <w:sz w:val="22"/>
          <w:szCs w:val="22"/>
        </w:rPr>
        <w:t>Vabanevat aega saavad kohalikud omavalitsused aga kasutada efektiivselt muude haldusülesannete tähtaegsel täitmisel, sh projekteerimistingimuste ning ehitus- ja kasutuslubade menetlusel, mis samuti sageli olulise viibimisega läbi viiakse.</w:t>
      </w:r>
    </w:p>
    <w:p w14:paraId="720C28E0" w14:textId="7E9B079C" w:rsidR="00AB593C" w:rsidRDefault="00AB593C" w:rsidP="00AB593C">
      <w:pPr>
        <w:jc w:val="both"/>
        <w:rPr>
          <w:rFonts w:cs="Arial"/>
          <w:sz w:val="22"/>
          <w:szCs w:val="22"/>
        </w:rPr>
      </w:pPr>
      <w:r>
        <w:rPr>
          <w:rFonts w:cs="Arial"/>
          <w:sz w:val="22"/>
          <w:szCs w:val="22"/>
        </w:rPr>
        <w:t>Täiendavalt juhivad Liidud tähelepanu ka 25.03.2026 Riigikogu majanduskomisjonile saadetud ettepanekule 683 SE-ga seoses, millega tegi Eesti Kinnisvarafirmade Liit ettepanek m</w:t>
      </w:r>
      <w:r w:rsidRPr="00AB593C">
        <w:rPr>
          <w:rFonts w:cs="Arial"/>
          <w:sz w:val="22"/>
          <w:szCs w:val="22"/>
        </w:rPr>
        <w:t>ääruse nr 133</w:t>
      </w:r>
      <w:r>
        <w:rPr>
          <w:rFonts w:cs="Arial"/>
          <w:sz w:val="22"/>
          <w:szCs w:val="22"/>
        </w:rPr>
        <w:t xml:space="preserve"> </w:t>
      </w:r>
      <w:r w:rsidRPr="00AB593C">
        <w:rPr>
          <w:rFonts w:cs="Arial"/>
          <w:sz w:val="22"/>
          <w:szCs w:val="22"/>
        </w:rPr>
        <w:t>„Planeeringute koostamisel koostöö tegemise kord ja planeeringute kooskõlastamise</w:t>
      </w:r>
      <w:r w:rsidRPr="00AB593C">
        <w:t xml:space="preserve"> </w:t>
      </w:r>
      <w:r w:rsidRPr="00AB593C">
        <w:rPr>
          <w:rFonts w:cs="Arial"/>
          <w:sz w:val="22"/>
          <w:szCs w:val="22"/>
        </w:rPr>
        <w:t>alused“ §</w:t>
      </w:r>
      <w:r>
        <w:rPr>
          <w:rFonts w:cs="Arial"/>
          <w:sz w:val="22"/>
          <w:szCs w:val="22"/>
        </w:rPr>
        <w:t xml:space="preserve"> </w:t>
      </w:r>
      <w:r w:rsidRPr="00AB593C">
        <w:rPr>
          <w:rFonts w:cs="Arial"/>
          <w:sz w:val="22"/>
          <w:szCs w:val="22"/>
        </w:rPr>
        <w:t>3 p 12 muutmiseks</w:t>
      </w:r>
      <w:r>
        <w:rPr>
          <w:rFonts w:cs="Arial"/>
          <w:sz w:val="22"/>
          <w:szCs w:val="22"/>
        </w:rPr>
        <w:t xml:space="preserve"> (</w:t>
      </w:r>
      <w:r w:rsidR="0030366E">
        <w:rPr>
          <w:rFonts w:cs="Arial"/>
          <w:sz w:val="22"/>
          <w:szCs w:val="22"/>
        </w:rPr>
        <w:t>ettepaneku terviktekst lisas</w:t>
      </w:r>
      <w:r>
        <w:rPr>
          <w:rFonts w:cs="Arial"/>
          <w:sz w:val="22"/>
          <w:szCs w:val="22"/>
        </w:rPr>
        <w:t>)</w:t>
      </w:r>
      <w:r w:rsidRPr="00AB593C">
        <w:rPr>
          <w:rFonts w:cs="Arial"/>
          <w:sz w:val="22"/>
          <w:szCs w:val="22"/>
        </w:rPr>
        <w:t>.</w:t>
      </w:r>
      <w:r>
        <w:rPr>
          <w:rFonts w:cs="Arial"/>
          <w:sz w:val="22"/>
          <w:szCs w:val="22"/>
        </w:rPr>
        <w:t xml:space="preserve"> Liidud paluvad käesolevate muudatuste menetluses arvestada ka selle ettepanekuga </w:t>
      </w:r>
      <w:r w:rsidR="0030366E">
        <w:rPr>
          <w:rFonts w:cs="Arial"/>
          <w:sz w:val="22"/>
          <w:szCs w:val="22"/>
        </w:rPr>
        <w:t xml:space="preserve">määruse </w:t>
      </w:r>
      <w:r>
        <w:rPr>
          <w:rFonts w:cs="Arial"/>
          <w:sz w:val="22"/>
          <w:szCs w:val="22"/>
        </w:rPr>
        <w:t>paragrahv 3 punkt</w:t>
      </w:r>
      <w:r w:rsidR="0030366E">
        <w:rPr>
          <w:rFonts w:cs="Arial"/>
          <w:sz w:val="22"/>
          <w:szCs w:val="22"/>
        </w:rPr>
        <w:t>i</w:t>
      </w:r>
      <w:r>
        <w:rPr>
          <w:rFonts w:cs="Arial"/>
          <w:sz w:val="22"/>
          <w:szCs w:val="22"/>
        </w:rPr>
        <w:t xml:space="preserve"> 12 </w:t>
      </w:r>
      <w:r w:rsidR="0030366E">
        <w:rPr>
          <w:rFonts w:cs="Arial"/>
          <w:sz w:val="22"/>
          <w:szCs w:val="22"/>
        </w:rPr>
        <w:t>osas. Määruses tuleb selgelt välja tuua</w:t>
      </w:r>
      <w:r w:rsidR="0030366E" w:rsidRPr="0030366E">
        <w:rPr>
          <w:rFonts w:cs="Arial"/>
          <w:sz w:val="22"/>
          <w:szCs w:val="22"/>
        </w:rPr>
        <w:t xml:space="preserve">, et </w:t>
      </w:r>
      <w:r w:rsidR="0030366E" w:rsidRPr="00270ECD">
        <w:rPr>
          <w:rFonts w:cs="Arial"/>
          <w:b/>
          <w:bCs/>
          <w:sz w:val="22"/>
          <w:szCs w:val="22"/>
        </w:rPr>
        <w:t>detailplaneeringule küsitakse Terviseameti kooskõlastus, kui detailplaneering puudutab laste- või sotsiaalhoolekande asutuste rajamist või kui kavandatava tegevuse tagajärjel võib elamualadele kaasneda mitte normatiivne müra või vibratsioon</w:t>
      </w:r>
      <w:r w:rsidR="0030366E">
        <w:rPr>
          <w:rFonts w:cs="Arial"/>
          <w:sz w:val="22"/>
          <w:szCs w:val="22"/>
        </w:rPr>
        <w:t>.</w:t>
      </w:r>
    </w:p>
    <w:p w14:paraId="40AAA15B" w14:textId="6C5FF2C8" w:rsidR="00607620" w:rsidRPr="00A50BBE" w:rsidRDefault="00EA4C44" w:rsidP="00752961">
      <w:pPr>
        <w:jc w:val="both"/>
        <w:rPr>
          <w:rFonts w:cs="Arial"/>
          <w:sz w:val="22"/>
          <w:szCs w:val="22"/>
        </w:rPr>
      </w:pPr>
      <w:r>
        <w:rPr>
          <w:rFonts w:cs="Arial"/>
          <w:sz w:val="22"/>
          <w:szCs w:val="22"/>
        </w:rPr>
        <w:t>Liidud paluvad esitatud ettepanekutega arvestada. Tegemist on planeerimismenetluse tõhustamise ja Eesti majanduskeskkonna atraktiivsuse suurendamise seisukohast oluliste ja vajalike täiendustega.</w:t>
      </w:r>
    </w:p>
    <w:p w14:paraId="7D114F71" w14:textId="067E9E3B" w:rsidR="002F5C8A" w:rsidRPr="00A50BBE" w:rsidRDefault="002F5C8A" w:rsidP="00752961">
      <w:pPr>
        <w:pStyle w:val="Default"/>
        <w:jc w:val="both"/>
        <w:rPr>
          <w:rFonts w:ascii="Arial" w:hAnsi="Arial" w:cs="Arial"/>
          <w:color w:val="auto"/>
          <w:sz w:val="22"/>
          <w:szCs w:val="22"/>
        </w:rPr>
      </w:pPr>
    </w:p>
    <w:p w14:paraId="69F2187E" w14:textId="77777777" w:rsidR="00170C8C" w:rsidRDefault="00170C8C" w:rsidP="00752961">
      <w:pPr>
        <w:pStyle w:val="Default"/>
        <w:jc w:val="both"/>
        <w:rPr>
          <w:rFonts w:ascii="Arial" w:hAnsi="Arial" w:cs="Arial"/>
          <w:color w:val="auto"/>
          <w:sz w:val="22"/>
          <w:szCs w:val="22"/>
        </w:rPr>
      </w:pPr>
    </w:p>
    <w:p w14:paraId="031F6753" w14:textId="77777777" w:rsidR="00170C8C" w:rsidRDefault="00170C8C" w:rsidP="00752961">
      <w:pPr>
        <w:pStyle w:val="Default"/>
        <w:jc w:val="both"/>
        <w:rPr>
          <w:rFonts w:ascii="Arial" w:hAnsi="Arial" w:cs="Arial"/>
          <w:color w:val="auto"/>
          <w:sz w:val="22"/>
          <w:szCs w:val="22"/>
        </w:rPr>
      </w:pPr>
    </w:p>
    <w:p w14:paraId="2FA6018B" w14:textId="07A29449" w:rsidR="002F5C8A" w:rsidRDefault="002F5C8A" w:rsidP="00752961">
      <w:pPr>
        <w:pStyle w:val="Default"/>
        <w:jc w:val="both"/>
        <w:rPr>
          <w:rFonts w:ascii="Arial" w:hAnsi="Arial" w:cs="Arial"/>
          <w:color w:val="auto"/>
          <w:sz w:val="22"/>
          <w:szCs w:val="22"/>
        </w:rPr>
      </w:pPr>
      <w:r w:rsidRPr="00A50BBE">
        <w:rPr>
          <w:rFonts w:ascii="Arial" w:hAnsi="Arial" w:cs="Arial"/>
          <w:color w:val="auto"/>
          <w:sz w:val="22"/>
          <w:szCs w:val="22"/>
        </w:rPr>
        <w:t>Lugupidamisega</w:t>
      </w:r>
    </w:p>
    <w:p w14:paraId="3518AE4A" w14:textId="77777777" w:rsidR="00AB1AB3" w:rsidRDefault="00AB1AB3" w:rsidP="00752961">
      <w:pPr>
        <w:pStyle w:val="Default"/>
        <w:jc w:val="both"/>
        <w:rPr>
          <w:rFonts w:ascii="Arial" w:hAnsi="Arial" w:cs="Arial"/>
          <w:color w:val="auto"/>
          <w:sz w:val="22"/>
          <w:szCs w:val="22"/>
        </w:rPr>
      </w:pPr>
    </w:p>
    <w:p w14:paraId="37FB9F4A" w14:textId="77777777" w:rsidR="00AB1AB3" w:rsidRPr="00A50BBE" w:rsidRDefault="00AB1AB3" w:rsidP="00752961">
      <w:pPr>
        <w:pStyle w:val="Default"/>
        <w:jc w:val="both"/>
        <w:rPr>
          <w:rFonts w:ascii="Arial" w:hAnsi="Arial" w:cs="Arial"/>
          <w:color w:val="auto"/>
          <w:sz w:val="22"/>
          <w:szCs w:val="22"/>
        </w:rPr>
      </w:pPr>
    </w:p>
    <w:p w14:paraId="0511148C" w14:textId="77777777" w:rsidR="004D2C73" w:rsidRPr="00A50BBE" w:rsidRDefault="004D2C73" w:rsidP="00752961">
      <w:pPr>
        <w:pStyle w:val="Default"/>
        <w:jc w:val="both"/>
        <w:rPr>
          <w:rFonts w:ascii="Arial" w:hAnsi="Arial" w:cs="Arial"/>
          <w:color w:val="auto"/>
          <w:sz w:val="22"/>
          <w:szCs w:val="22"/>
        </w:rPr>
      </w:pPr>
    </w:p>
    <w:p w14:paraId="1D9A15E6" w14:textId="288DE510" w:rsidR="004D2C73" w:rsidRPr="00AB1AB3" w:rsidRDefault="004D2C73" w:rsidP="00752961">
      <w:pPr>
        <w:pStyle w:val="Default"/>
        <w:jc w:val="both"/>
        <w:rPr>
          <w:rFonts w:ascii="Arial" w:hAnsi="Arial" w:cs="Arial"/>
          <w:i/>
          <w:iCs/>
          <w:color w:val="auto"/>
          <w:sz w:val="22"/>
          <w:szCs w:val="22"/>
        </w:rPr>
      </w:pPr>
      <w:r w:rsidRPr="00A50BBE">
        <w:rPr>
          <w:rFonts w:ascii="Arial" w:hAnsi="Arial" w:cs="Arial"/>
          <w:i/>
          <w:iCs/>
          <w:color w:val="auto"/>
          <w:sz w:val="22"/>
          <w:szCs w:val="22"/>
        </w:rPr>
        <w:t>(allkirjastatud digitaalselt)</w:t>
      </w:r>
      <w:r w:rsidR="00AB1AB3">
        <w:rPr>
          <w:rFonts w:ascii="Arial" w:hAnsi="Arial" w:cs="Arial"/>
          <w:i/>
          <w:iCs/>
          <w:color w:val="auto"/>
          <w:sz w:val="22"/>
          <w:szCs w:val="22"/>
        </w:rPr>
        <w:t xml:space="preserve"> </w:t>
      </w:r>
      <w:r w:rsidR="00AB1AB3">
        <w:rPr>
          <w:rFonts w:ascii="Arial" w:hAnsi="Arial" w:cs="Arial"/>
          <w:i/>
          <w:iCs/>
          <w:color w:val="auto"/>
          <w:sz w:val="22"/>
          <w:szCs w:val="22"/>
        </w:rPr>
        <w:tab/>
      </w:r>
      <w:r w:rsidR="00AB1AB3" w:rsidRPr="00A50BBE">
        <w:rPr>
          <w:rFonts w:ascii="Arial" w:hAnsi="Arial" w:cs="Arial"/>
          <w:i/>
          <w:iCs/>
          <w:color w:val="auto"/>
          <w:sz w:val="22"/>
          <w:szCs w:val="22"/>
        </w:rPr>
        <w:t>(allkirjastatud digitaalselt)</w:t>
      </w:r>
      <w:r w:rsidR="00AB1AB3" w:rsidRPr="00AB1AB3">
        <w:t xml:space="preserve"> </w:t>
      </w:r>
      <w:r w:rsidR="00AB1AB3">
        <w:tab/>
      </w:r>
      <w:r w:rsidR="00AB1AB3" w:rsidRPr="00AB1AB3">
        <w:rPr>
          <w:rFonts w:ascii="Arial" w:hAnsi="Arial" w:cs="Arial"/>
          <w:i/>
          <w:iCs/>
          <w:color w:val="auto"/>
          <w:sz w:val="22"/>
          <w:szCs w:val="22"/>
        </w:rPr>
        <w:t>(allkirjastatud digitaalselt)</w:t>
      </w:r>
    </w:p>
    <w:p w14:paraId="49A67D73" w14:textId="77777777" w:rsidR="004F6022" w:rsidRDefault="004F6022" w:rsidP="00752961">
      <w:pPr>
        <w:pStyle w:val="Default"/>
        <w:jc w:val="both"/>
        <w:rPr>
          <w:rFonts w:ascii="Arial" w:hAnsi="Arial" w:cs="Arial"/>
          <w:color w:val="auto"/>
          <w:sz w:val="22"/>
          <w:szCs w:val="22"/>
        </w:rPr>
      </w:pPr>
    </w:p>
    <w:p w14:paraId="491B8D8C" w14:textId="76631A94" w:rsidR="00AB1AB3" w:rsidRPr="00A50BBE" w:rsidRDefault="00AB1AB3" w:rsidP="00752961">
      <w:pPr>
        <w:pStyle w:val="Default"/>
        <w:jc w:val="both"/>
        <w:rPr>
          <w:rFonts w:ascii="Arial" w:hAnsi="Arial" w:cs="Arial"/>
          <w:color w:val="auto"/>
          <w:sz w:val="22"/>
          <w:szCs w:val="22"/>
        </w:rPr>
      </w:pPr>
      <w:r w:rsidRPr="00AB1AB3">
        <w:rPr>
          <w:rFonts w:ascii="Arial" w:hAnsi="Arial" w:cs="Arial"/>
          <w:color w:val="auto"/>
          <w:sz w:val="22"/>
          <w:szCs w:val="22"/>
        </w:rPr>
        <w:t>Eesti Tööandjate Keskliit</w:t>
      </w:r>
      <w:r>
        <w:rPr>
          <w:rFonts w:ascii="Arial" w:hAnsi="Arial" w:cs="Arial"/>
          <w:color w:val="auto"/>
          <w:sz w:val="22"/>
          <w:szCs w:val="22"/>
        </w:rPr>
        <w:tab/>
      </w:r>
      <w:r w:rsidRPr="00AB1AB3">
        <w:rPr>
          <w:rFonts w:ascii="Arial" w:hAnsi="Arial" w:cs="Arial"/>
          <w:color w:val="auto"/>
          <w:sz w:val="22"/>
          <w:szCs w:val="22"/>
        </w:rPr>
        <w:t xml:space="preserve">Eesti Ehitusettevõtjate Liit </w:t>
      </w:r>
      <w:r>
        <w:rPr>
          <w:rFonts w:ascii="Arial" w:hAnsi="Arial" w:cs="Arial"/>
          <w:color w:val="auto"/>
          <w:sz w:val="22"/>
          <w:szCs w:val="22"/>
        </w:rPr>
        <w:tab/>
      </w:r>
      <w:r w:rsidRPr="00AB1AB3">
        <w:rPr>
          <w:rFonts w:ascii="Arial" w:hAnsi="Arial" w:cs="Arial"/>
          <w:color w:val="auto"/>
          <w:sz w:val="22"/>
          <w:szCs w:val="22"/>
        </w:rPr>
        <w:t>Eesti Kinnisvarafirmade Liit</w:t>
      </w:r>
    </w:p>
    <w:p w14:paraId="048A4406" w14:textId="77777777" w:rsidR="00D0664D" w:rsidRPr="00A50BBE" w:rsidRDefault="00D0664D" w:rsidP="00752961">
      <w:pPr>
        <w:pStyle w:val="Default"/>
        <w:jc w:val="both"/>
        <w:rPr>
          <w:rFonts w:ascii="Arial" w:hAnsi="Arial" w:cs="Arial"/>
          <w:color w:val="auto"/>
          <w:sz w:val="22"/>
          <w:szCs w:val="22"/>
        </w:rPr>
      </w:pPr>
    </w:p>
    <w:p w14:paraId="264196D4" w14:textId="77777777" w:rsidR="00AB1AB3" w:rsidRDefault="00AB1AB3" w:rsidP="00672E80">
      <w:pPr>
        <w:pStyle w:val="Default"/>
        <w:jc w:val="both"/>
        <w:rPr>
          <w:rFonts w:ascii="Arial" w:hAnsi="Arial" w:cs="Arial"/>
          <w:color w:val="auto"/>
          <w:sz w:val="22"/>
          <w:szCs w:val="22"/>
        </w:rPr>
      </w:pPr>
    </w:p>
    <w:p w14:paraId="7370D026" w14:textId="77777777" w:rsidR="00AB1AB3" w:rsidRDefault="00AB1AB3" w:rsidP="00672E80">
      <w:pPr>
        <w:pStyle w:val="Default"/>
        <w:jc w:val="both"/>
        <w:rPr>
          <w:rFonts w:ascii="Arial" w:hAnsi="Arial" w:cs="Arial"/>
          <w:color w:val="auto"/>
          <w:sz w:val="22"/>
          <w:szCs w:val="22"/>
        </w:rPr>
      </w:pPr>
    </w:p>
    <w:p w14:paraId="550E7967" w14:textId="654E91F7" w:rsidR="00A269F0" w:rsidRDefault="00A269F0" w:rsidP="00672E80">
      <w:pPr>
        <w:pStyle w:val="Default"/>
        <w:jc w:val="both"/>
        <w:rPr>
          <w:rFonts w:ascii="Arial" w:hAnsi="Arial" w:cs="Arial"/>
          <w:color w:val="auto"/>
          <w:sz w:val="22"/>
          <w:szCs w:val="22"/>
        </w:rPr>
      </w:pPr>
    </w:p>
    <w:p w14:paraId="14E89E07" w14:textId="77777777" w:rsidR="008306FB" w:rsidRDefault="008306FB" w:rsidP="00672E80">
      <w:pPr>
        <w:pStyle w:val="Default"/>
        <w:jc w:val="both"/>
        <w:rPr>
          <w:rFonts w:ascii="Arial" w:hAnsi="Arial" w:cs="Arial"/>
          <w:color w:val="auto"/>
          <w:sz w:val="22"/>
          <w:szCs w:val="22"/>
        </w:rPr>
      </w:pPr>
    </w:p>
    <w:p w14:paraId="02AE214E" w14:textId="77777777" w:rsidR="008306FB" w:rsidRDefault="008306FB" w:rsidP="00672E80">
      <w:pPr>
        <w:pStyle w:val="Default"/>
        <w:jc w:val="both"/>
        <w:rPr>
          <w:rFonts w:ascii="Arial" w:hAnsi="Arial" w:cs="Arial"/>
          <w:color w:val="auto"/>
          <w:sz w:val="22"/>
          <w:szCs w:val="22"/>
        </w:rPr>
      </w:pPr>
    </w:p>
    <w:p w14:paraId="56E37EDC" w14:textId="77777777" w:rsidR="008306FB" w:rsidRDefault="008306FB" w:rsidP="00672E80">
      <w:pPr>
        <w:pStyle w:val="Default"/>
        <w:jc w:val="both"/>
        <w:rPr>
          <w:rFonts w:ascii="Arial" w:hAnsi="Arial" w:cs="Arial"/>
          <w:color w:val="auto"/>
          <w:sz w:val="22"/>
          <w:szCs w:val="22"/>
        </w:rPr>
      </w:pPr>
    </w:p>
    <w:p w14:paraId="7975831C" w14:textId="77777777" w:rsidR="008306FB" w:rsidRDefault="008306FB" w:rsidP="00672E80">
      <w:pPr>
        <w:pStyle w:val="Default"/>
        <w:jc w:val="both"/>
        <w:rPr>
          <w:rFonts w:ascii="Arial" w:hAnsi="Arial" w:cs="Arial"/>
          <w:color w:val="auto"/>
          <w:sz w:val="22"/>
          <w:szCs w:val="22"/>
        </w:rPr>
      </w:pPr>
    </w:p>
    <w:p w14:paraId="5662E06B" w14:textId="77777777" w:rsidR="008306FB" w:rsidRDefault="008306FB" w:rsidP="00672E80">
      <w:pPr>
        <w:pStyle w:val="Default"/>
        <w:jc w:val="both"/>
        <w:rPr>
          <w:rFonts w:ascii="Arial" w:hAnsi="Arial" w:cs="Arial"/>
          <w:color w:val="auto"/>
          <w:sz w:val="22"/>
          <w:szCs w:val="22"/>
        </w:rPr>
      </w:pPr>
    </w:p>
    <w:p w14:paraId="337B9789" w14:textId="77777777" w:rsidR="008306FB" w:rsidRDefault="008306FB" w:rsidP="00672E80">
      <w:pPr>
        <w:pStyle w:val="Default"/>
        <w:jc w:val="both"/>
        <w:rPr>
          <w:rFonts w:ascii="Arial" w:hAnsi="Arial" w:cs="Arial"/>
          <w:color w:val="auto"/>
          <w:sz w:val="22"/>
          <w:szCs w:val="22"/>
        </w:rPr>
      </w:pPr>
    </w:p>
    <w:p w14:paraId="3F3A5251" w14:textId="77777777" w:rsidR="008306FB" w:rsidRDefault="008306FB" w:rsidP="00672E80">
      <w:pPr>
        <w:pStyle w:val="Default"/>
        <w:jc w:val="both"/>
        <w:rPr>
          <w:rFonts w:ascii="Arial" w:hAnsi="Arial" w:cs="Arial"/>
          <w:color w:val="auto"/>
          <w:sz w:val="22"/>
          <w:szCs w:val="22"/>
        </w:rPr>
      </w:pPr>
    </w:p>
    <w:p w14:paraId="0A0A6D82" w14:textId="77777777" w:rsidR="008306FB" w:rsidRDefault="008306FB" w:rsidP="00672E80">
      <w:pPr>
        <w:pStyle w:val="Default"/>
        <w:jc w:val="both"/>
        <w:rPr>
          <w:rFonts w:ascii="Arial" w:hAnsi="Arial" w:cs="Arial"/>
          <w:color w:val="auto"/>
          <w:sz w:val="22"/>
          <w:szCs w:val="22"/>
        </w:rPr>
      </w:pPr>
    </w:p>
    <w:p w14:paraId="24E1EFBA" w14:textId="77777777" w:rsidR="008306FB" w:rsidRDefault="008306FB" w:rsidP="00672E80">
      <w:pPr>
        <w:pStyle w:val="Default"/>
        <w:jc w:val="both"/>
        <w:rPr>
          <w:rFonts w:ascii="Arial" w:hAnsi="Arial" w:cs="Arial"/>
          <w:color w:val="auto"/>
          <w:sz w:val="22"/>
          <w:szCs w:val="22"/>
        </w:rPr>
      </w:pPr>
    </w:p>
    <w:p w14:paraId="16A01C0E" w14:textId="77777777" w:rsidR="008306FB" w:rsidRDefault="008306FB" w:rsidP="00672E80">
      <w:pPr>
        <w:pStyle w:val="Default"/>
        <w:jc w:val="both"/>
        <w:rPr>
          <w:rFonts w:ascii="Arial" w:hAnsi="Arial" w:cs="Arial"/>
          <w:color w:val="auto"/>
          <w:sz w:val="22"/>
          <w:szCs w:val="22"/>
        </w:rPr>
      </w:pPr>
    </w:p>
    <w:p w14:paraId="7EF2D50F" w14:textId="77777777" w:rsidR="008306FB" w:rsidRDefault="008306FB" w:rsidP="00672E80">
      <w:pPr>
        <w:pStyle w:val="Default"/>
        <w:jc w:val="both"/>
        <w:rPr>
          <w:rFonts w:ascii="Arial" w:hAnsi="Arial" w:cs="Arial"/>
          <w:color w:val="auto"/>
          <w:sz w:val="22"/>
          <w:szCs w:val="22"/>
        </w:rPr>
      </w:pPr>
    </w:p>
    <w:p w14:paraId="0F84348F" w14:textId="77777777" w:rsidR="008306FB" w:rsidRDefault="008306FB" w:rsidP="00672E80">
      <w:pPr>
        <w:pStyle w:val="Default"/>
        <w:jc w:val="both"/>
        <w:rPr>
          <w:rFonts w:ascii="Arial" w:hAnsi="Arial" w:cs="Arial"/>
          <w:color w:val="auto"/>
          <w:sz w:val="22"/>
          <w:szCs w:val="22"/>
        </w:rPr>
      </w:pPr>
    </w:p>
    <w:p w14:paraId="1AA8AEA5" w14:textId="77777777" w:rsidR="008306FB" w:rsidRDefault="008306FB" w:rsidP="00672E80">
      <w:pPr>
        <w:pStyle w:val="Default"/>
        <w:jc w:val="both"/>
        <w:rPr>
          <w:rFonts w:ascii="Arial" w:hAnsi="Arial" w:cs="Arial"/>
          <w:color w:val="auto"/>
          <w:sz w:val="22"/>
          <w:szCs w:val="22"/>
        </w:rPr>
      </w:pPr>
    </w:p>
    <w:p w14:paraId="52144BA6" w14:textId="77777777" w:rsidR="008306FB" w:rsidRDefault="008306FB" w:rsidP="00672E80">
      <w:pPr>
        <w:pStyle w:val="Default"/>
        <w:jc w:val="both"/>
        <w:rPr>
          <w:rFonts w:ascii="Arial" w:hAnsi="Arial" w:cs="Arial"/>
          <w:color w:val="auto"/>
          <w:sz w:val="22"/>
          <w:szCs w:val="22"/>
        </w:rPr>
      </w:pPr>
    </w:p>
    <w:p w14:paraId="0ABFCD3A" w14:textId="2DC515C1" w:rsidR="008306FB" w:rsidRPr="00A50BBE" w:rsidRDefault="008306FB" w:rsidP="00672E80">
      <w:pPr>
        <w:pStyle w:val="Default"/>
        <w:jc w:val="both"/>
        <w:rPr>
          <w:rFonts w:ascii="Arial" w:hAnsi="Arial" w:cs="Arial"/>
          <w:color w:val="auto"/>
          <w:sz w:val="22"/>
          <w:szCs w:val="22"/>
        </w:rPr>
      </w:pPr>
      <w:r>
        <w:rPr>
          <w:rFonts w:ascii="Arial" w:hAnsi="Arial" w:cs="Arial"/>
          <w:color w:val="auto"/>
          <w:sz w:val="22"/>
          <w:szCs w:val="22"/>
        </w:rPr>
        <w:t>Arvamus ja ettepanek on valminud koostöös advokaadibürooga WALLESS</w:t>
      </w:r>
    </w:p>
    <w:sectPr w:rsidR="008306FB" w:rsidRPr="00A50BB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BFCBA" w14:textId="77777777" w:rsidR="00C04D6E" w:rsidRDefault="00C04D6E" w:rsidP="00EC7214">
      <w:pPr>
        <w:spacing w:after="0" w:line="240" w:lineRule="auto"/>
      </w:pPr>
      <w:r>
        <w:separator/>
      </w:r>
    </w:p>
  </w:endnote>
  <w:endnote w:type="continuationSeparator" w:id="0">
    <w:p w14:paraId="4B5ED6BE" w14:textId="77777777" w:rsidR="00C04D6E" w:rsidRDefault="00C04D6E" w:rsidP="00EC7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880534"/>
      <w:docPartObj>
        <w:docPartGallery w:val="Page Numbers (Bottom of Page)"/>
        <w:docPartUnique/>
      </w:docPartObj>
    </w:sdtPr>
    <w:sdtContent>
      <w:p w14:paraId="124C6E14" w14:textId="0D17CB8E" w:rsidR="00EC7214" w:rsidRDefault="00EC7214">
        <w:pPr>
          <w:pStyle w:val="Footer"/>
          <w:jc w:val="right"/>
        </w:pPr>
        <w:r>
          <w:fldChar w:fldCharType="begin"/>
        </w:r>
        <w:r>
          <w:instrText>PAGE   \* MERGEFORMAT</w:instrText>
        </w:r>
        <w:r>
          <w:fldChar w:fldCharType="separate"/>
        </w:r>
        <w:r>
          <w:t>2</w:t>
        </w:r>
        <w:r>
          <w:fldChar w:fldCharType="end"/>
        </w:r>
      </w:p>
    </w:sdtContent>
  </w:sdt>
  <w:p w14:paraId="5DD1EE4C" w14:textId="77777777" w:rsidR="00EC7214" w:rsidRDefault="00EC72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D8657" w14:textId="77777777" w:rsidR="00C04D6E" w:rsidRDefault="00C04D6E" w:rsidP="00EC7214">
      <w:pPr>
        <w:spacing w:after="0" w:line="240" w:lineRule="auto"/>
      </w:pPr>
      <w:r>
        <w:separator/>
      </w:r>
    </w:p>
  </w:footnote>
  <w:footnote w:type="continuationSeparator" w:id="0">
    <w:p w14:paraId="066A4230" w14:textId="77777777" w:rsidR="00C04D6E" w:rsidRDefault="00C04D6E" w:rsidP="00EC7214">
      <w:pPr>
        <w:spacing w:after="0" w:line="240" w:lineRule="auto"/>
      </w:pPr>
      <w:r>
        <w:continuationSeparator/>
      </w:r>
    </w:p>
  </w:footnote>
  <w:footnote w:id="1">
    <w:p w14:paraId="20CB0E23" w14:textId="6D3941C9" w:rsidR="00DB7968" w:rsidRDefault="00DB7968" w:rsidP="00DB7968">
      <w:pPr>
        <w:pStyle w:val="FootnoteText"/>
        <w:jc w:val="both"/>
      </w:pPr>
      <w:r>
        <w:rPr>
          <w:rStyle w:val="FootnoteReference"/>
        </w:rPr>
        <w:footnoteRef/>
      </w:r>
      <w:r>
        <w:t xml:space="preserve"> Tegemist on selgust tagava täiendusega selleks, et loetletud ülesannete lahendamist nõutaks tõesti vaid põhjendatud vajaduse korral. Kui kohalik omavalitsus peab hindama, kas vajadus on põhjendatud või mitte, siis on usutav, et nõutakse siiski vaid nende ülesannete lahendamist, mis on tegelikult vajalikud.</w:t>
      </w:r>
    </w:p>
  </w:footnote>
  <w:footnote w:id="2">
    <w:p w14:paraId="65AC8F7D" w14:textId="0380EAA8" w:rsidR="00DB7968" w:rsidRDefault="00DB7968">
      <w:pPr>
        <w:pStyle w:val="FootnoteText"/>
      </w:pPr>
      <w:r>
        <w:rPr>
          <w:rStyle w:val="FootnoteReference"/>
        </w:rPr>
        <w:footnoteRef/>
      </w:r>
      <w:r>
        <w:t xml:space="preserve"> Määratakse põhimõtted (näiteks katusekalde vahemik), täpsed tingimused (konkreetne katusekalle) antakse siiski ehitusprojektiga</w:t>
      </w:r>
      <w:r w:rsidR="00D9057F">
        <w:t>/ehitusloaga</w:t>
      </w:r>
      <w:r>
        <w:t>.</w:t>
      </w:r>
    </w:p>
  </w:footnote>
  <w:footnote w:id="3">
    <w:p w14:paraId="6D1FAEFE" w14:textId="0C81C1FF" w:rsidR="00DB7968" w:rsidRDefault="00DB7968">
      <w:pPr>
        <w:pStyle w:val="FootnoteText"/>
      </w:pPr>
      <w:r>
        <w:rPr>
          <w:rStyle w:val="FootnoteReference"/>
        </w:rPr>
        <w:footnoteRef/>
      </w:r>
      <w:r>
        <w:t xml:space="preserve"> Määratakse teeninduspiirkonna põhimõtted (vajalik vähim laius jne), täpsed tingimused antakse siiski ehitusprojektiga</w:t>
      </w:r>
      <w:r w:rsidR="00D9057F">
        <w:t>/ehitusloaga</w:t>
      </w:r>
      <w:r>
        <w:t>;</w:t>
      </w:r>
    </w:p>
  </w:footnote>
  <w:footnote w:id="4">
    <w:p w14:paraId="5768B2EF" w14:textId="219CC373" w:rsidR="00DB7968" w:rsidRDefault="00DB7968" w:rsidP="00D9057F">
      <w:pPr>
        <w:pStyle w:val="FootnoteText"/>
        <w:jc w:val="both"/>
      </w:pPr>
      <w:r>
        <w:rPr>
          <w:rStyle w:val="FootnoteReference"/>
        </w:rPr>
        <w:footnoteRef/>
      </w:r>
      <w:r>
        <w:t xml:space="preserve"> Määratakse põhimõtted</w:t>
      </w:r>
      <w:r w:rsidR="00D9057F">
        <w:t>, täpsed tingimused antakse siiski ehitusprojektiga/ehitusloaga.</w:t>
      </w:r>
    </w:p>
  </w:footnote>
  <w:footnote w:id="5">
    <w:p w14:paraId="7E0C24E8" w14:textId="63FF2ED4" w:rsidR="00DB7968" w:rsidRDefault="00DB7968" w:rsidP="00D9057F">
      <w:pPr>
        <w:pStyle w:val="FootnoteText"/>
        <w:jc w:val="both"/>
      </w:pPr>
      <w:r>
        <w:rPr>
          <w:rStyle w:val="FootnoteReference"/>
        </w:rPr>
        <w:footnoteRef/>
      </w:r>
      <w:r>
        <w:t xml:space="preserve"> </w:t>
      </w:r>
      <w:r w:rsidR="00D9057F">
        <w:t xml:space="preserve">PlanS </w:t>
      </w:r>
      <w:r w:rsidR="00D9057F" w:rsidRPr="00D9057F">
        <w:t>§ 12</w:t>
      </w:r>
      <w:r w:rsidR="00D9057F">
        <w:t>5 lg 1 sätestab, et detailplaneeringu koostamine on vajalik ehitusloakohustusliku hoone, olulise avaliku huviga rajatise või olulise ruumilise mõjuga ehitise jaoks, seega on piisav, kui sätestada, et põhjendatud juhul seatakse detailplaneeringuga tingimused mitteehitusloakohustuslikele (ehk siis mitte detailplaneeringu koostamise kohustusega) ehitistele.</w:t>
      </w:r>
    </w:p>
  </w:footnote>
  <w:footnote w:id="6">
    <w:p w14:paraId="57446368" w14:textId="66E314A9" w:rsidR="00D9057F" w:rsidRDefault="00D9057F" w:rsidP="00D9057F">
      <w:pPr>
        <w:pStyle w:val="FootnoteText"/>
        <w:jc w:val="both"/>
      </w:pPr>
      <w:r>
        <w:rPr>
          <w:rStyle w:val="FootnoteReference"/>
        </w:rPr>
        <w:footnoteRef/>
      </w:r>
      <w:r>
        <w:t xml:space="preserve"> Hoonete arv on mõistlik määrata vaid põhjendatud vajadusel mitte igakordselt. Alternatiivselt määratakse ainult ehitusloakohustuslike hoonete arv, sest ainult need tingivad ka detailplaneeringu koostamise kohustuse (</w:t>
      </w:r>
      <w:r w:rsidRPr="00D9057F">
        <w:t>PlanS § 125 lg 1</w:t>
      </w:r>
      <w:r>
        <w:t>) ja ülejäänutele kohaldub Liidu ettepanek lg 2 punktis 15.</w:t>
      </w:r>
    </w:p>
  </w:footnote>
  <w:footnote w:id="7">
    <w:p w14:paraId="006571CC" w14:textId="41BC7335" w:rsidR="00D9057F" w:rsidRDefault="00D9057F">
      <w:pPr>
        <w:pStyle w:val="FootnoteText"/>
      </w:pPr>
      <w:r>
        <w:rPr>
          <w:rStyle w:val="FootnoteReference"/>
        </w:rPr>
        <w:footnoteRef/>
      </w:r>
      <w:r>
        <w:t xml:space="preserve"> Liit teeb ettepaneku lahtine loetelu ära jätta.</w:t>
      </w:r>
    </w:p>
  </w:footnote>
  <w:footnote w:id="8">
    <w:p w14:paraId="02AEC6A1" w14:textId="2A252AF9" w:rsidR="0009476B" w:rsidRDefault="0009476B">
      <w:pPr>
        <w:pStyle w:val="FootnoteText"/>
      </w:pPr>
      <w:r>
        <w:rPr>
          <w:rStyle w:val="FootnoteReference"/>
        </w:rPr>
        <w:footnoteRef/>
      </w:r>
      <w:r>
        <w:t xml:space="preserve"> Vt joonealune märkus nr 6.</w:t>
      </w:r>
    </w:p>
  </w:footnote>
  <w:footnote w:id="9">
    <w:p w14:paraId="54F37C82" w14:textId="3566F9B5" w:rsidR="00EC1D04" w:rsidRDefault="00EC1D04" w:rsidP="00EC1D04">
      <w:pPr>
        <w:pStyle w:val="FootnoteText"/>
        <w:jc w:val="both"/>
      </w:pPr>
      <w:r>
        <w:rPr>
          <w:rStyle w:val="FootnoteReference"/>
        </w:rPr>
        <w:footnoteRef/>
      </w:r>
      <w:r>
        <w:t xml:space="preserve"> Sellisel juhul jääb jätkuvalt mitteehitusloakohustuslike ehitiste tingimuste, sh arvu määramise võimalus põhjendatud vajadusel punkt 11, alapunktiga 13.</w:t>
      </w:r>
    </w:p>
  </w:footnote>
  <w:footnote w:id="10">
    <w:p w14:paraId="159240FC" w14:textId="4D9D050F" w:rsidR="0009476B" w:rsidRDefault="0009476B" w:rsidP="0009476B">
      <w:pPr>
        <w:pStyle w:val="FootnoteText"/>
        <w:jc w:val="both"/>
      </w:pPr>
      <w:r>
        <w:rPr>
          <w:rStyle w:val="FootnoteReference"/>
        </w:rPr>
        <w:footnoteRef/>
      </w:r>
      <w:r>
        <w:t xml:space="preserve"> Liidud teevad ettepaneku need täiendavad võimalused, sh lahtine loetelu, mi</w:t>
      </w:r>
      <w:r w:rsidR="00416BA8">
        <w:t>llisel</w:t>
      </w:r>
      <w:r>
        <w:t xml:space="preserve"> puhul võib detailplaneeringu algatamine pikeneda 90 päevani</w:t>
      </w:r>
      <w:r w:rsidR="000C3FD8">
        <w:t>,</w:t>
      </w:r>
      <w:r>
        <w:t xml:space="preserve"> eelnõust välja jätta. Eriti just lahtine loetelu annab kohalikele omavalitsustele lihtsa võimaluse lükata</w:t>
      </w:r>
      <w:r w:rsidR="000C3FD8">
        <w:t xml:space="preserve"> mistahes detailplaneeringu algatamist 30-lt päevalt 90-le päevale. See omakord ei teeni aga menetluse tõhustamise eesmärki. PlanS</w:t>
      </w:r>
      <w:r w:rsidR="000C3FD8" w:rsidRPr="000C3FD8">
        <w:t xml:space="preserve"> § 128 lõikest 2</w:t>
      </w:r>
      <w:r w:rsidR="000C3FD8">
        <w:t xml:space="preserve"> tulenev loetelu (vastuolu üldplaneeringuga, avalikult kasutatava taristu väljaehituse kokkuleppe sõlmimata jätmine, ülekaalukas avalik huvi, PlanS </w:t>
      </w:r>
      <w:r w:rsidR="000C3FD8" w:rsidRPr="000C3FD8">
        <w:t xml:space="preserve">§ 125 lõikes 5 </w:t>
      </w:r>
      <w:r w:rsidR="000C3FD8">
        <w:t xml:space="preserve">olukord ja detailplaneeringu koostamise rahastamise kokkuleppe sõlmimata jätmine) puudutab juhtumeid, mille esinemine või mitteesinemine on lihtsalt ja selgelt tuvastatav. </w:t>
      </w:r>
    </w:p>
  </w:footnote>
  <w:footnote w:id="11">
    <w:p w14:paraId="0B73FD39" w14:textId="2B634514" w:rsidR="00053FE1" w:rsidRDefault="00053FE1" w:rsidP="00053FE1">
      <w:pPr>
        <w:pStyle w:val="FootnoteText"/>
        <w:jc w:val="both"/>
      </w:pPr>
      <w:r>
        <w:rPr>
          <w:rStyle w:val="FootnoteReference"/>
        </w:rPr>
        <w:footnoteRef/>
      </w:r>
      <w:r>
        <w:t xml:space="preserve"> Ettepaneku eesmärk on vältida ja vähendada senist </w:t>
      </w:r>
      <w:r w:rsidR="00521E02">
        <w:t xml:space="preserve">kehva </w:t>
      </w:r>
      <w:r>
        <w:t xml:space="preserve">halduspraktikat korduvate kooskõlatuse ja arvamuste andmise osas, sh viisil, kus igakordselt esitatakse kooskõlastaja või arvamuse avaldaja poolt uusi, täiendavaid või varasemaga vastuolulisi tingimusi.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09F6"/>
    <w:multiLevelType w:val="hybridMultilevel"/>
    <w:tmpl w:val="9386FFD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7D1025C"/>
    <w:multiLevelType w:val="hybridMultilevel"/>
    <w:tmpl w:val="1CECECE0"/>
    <w:lvl w:ilvl="0" w:tplc="F8A0A352">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BED44BB"/>
    <w:multiLevelType w:val="hybridMultilevel"/>
    <w:tmpl w:val="7E0C0322"/>
    <w:lvl w:ilvl="0" w:tplc="93E8D1FE">
      <w:start w:val="1"/>
      <w:numFmt w:val="decimal"/>
      <w:lvlText w:val="%1."/>
      <w:lvlJc w:val="left"/>
      <w:pPr>
        <w:ind w:left="1080" w:hanging="720"/>
      </w:pPr>
      <w:rPr>
        <w:rFonts w:ascii="Times New Roman" w:eastAsiaTheme="minorHAnsi"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8AA5D32"/>
    <w:multiLevelType w:val="hybridMultilevel"/>
    <w:tmpl w:val="59604CEE"/>
    <w:lvl w:ilvl="0" w:tplc="E84EA638">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8FE0393"/>
    <w:multiLevelType w:val="hybridMultilevel"/>
    <w:tmpl w:val="02D283B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D334085"/>
    <w:multiLevelType w:val="hybridMultilevel"/>
    <w:tmpl w:val="BC78E700"/>
    <w:lvl w:ilvl="0" w:tplc="D624D48C">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262045F"/>
    <w:multiLevelType w:val="hybridMultilevel"/>
    <w:tmpl w:val="09D6C622"/>
    <w:lvl w:ilvl="0" w:tplc="9F84FB9A">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48179BB"/>
    <w:multiLevelType w:val="multilevel"/>
    <w:tmpl w:val="C59212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BA644A"/>
    <w:multiLevelType w:val="hybridMultilevel"/>
    <w:tmpl w:val="3DDC940C"/>
    <w:lvl w:ilvl="0" w:tplc="7970354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82A09C5"/>
    <w:multiLevelType w:val="hybridMultilevel"/>
    <w:tmpl w:val="4106F942"/>
    <w:lvl w:ilvl="0" w:tplc="5C7A0E12">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5F1D2882"/>
    <w:multiLevelType w:val="hybridMultilevel"/>
    <w:tmpl w:val="1C1CAA9C"/>
    <w:lvl w:ilvl="0" w:tplc="028CF100">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F61598A"/>
    <w:multiLevelType w:val="hybridMultilevel"/>
    <w:tmpl w:val="452ABC2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CFC4EF2"/>
    <w:multiLevelType w:val="hybridMultilevel"/>
    <w:tmpl w:val="8A6A76D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790F758B"/>
    <w:multiLevelType w:val="hybridMultilevel"/>
    <w:tmpl w:val="B32A0002"/>
    <w:lvl w:ilvl="0" w:tplc="DACA2152">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913931359">
    <w:abstractNumId w:val="3"/>
  </w:num>
  <w:num w:numId="2" w16cid:durableId="628240766">
    <w:abstractNumId w:val="5"/>
  </w:num>
  <w:num w:numId="3" w16cid:durableId="10837552">
    <w:abstractNumId w:val="2"/>
  </w:num>
  <w:num w:numId="4" w16cid:durableId="355008605">
    <w:abstractNumId w:val="9"/>
  </w:num>
  <w:num w:numId="5" w16cid:durableId="1032148852">
    <w:abstractNumId w:val="6"/>
  </w:num>
  <w:num w:numId="6" w16cid:durableId="1850217634">
    <w:abstractNumId w:val="0"/>
  </w:num>
  <w:num w:numId="7" w16cid:durableId="1315451917">
    <w:abstractNumId w:val="11"/>
  </w:num>
  <w:num w:numId="8" w16cid:durableId="867642512">
    <w:abstractNumId w:val="7"/>
  </w:num>
  <w:num w:numId="9" w16cid:durableId="1018504650">
    <w:abstractNumId w:val="13"/>
  </w:num>
  <w:num w:numId="10" w16cid:durableId="1811360518">
    <w:abstractNumId w:val="8"/>
  </w:num>
  <w:num w:numId="11" w16cid:durableId="890578816">
    <w:abstractNumId w:val="10"/>
  </w:num>
  <w:num w:numId="12" w16cid:durableId="1626891959">
    <w:abstractNumId w:val="12"/>
  </w:num>
  <w:num w:numId="13" w16cid:durableId="2121605989">
    <w:abstractNumId w:val="4"/>
  </w:num>
  <w:num w:numId="14" w16cid:durableId="1262303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8A5"/>
    <w:rsid w:val="000048A5"/>
    <w:rsid w:val="000069C3"/>
    <w:rsid w:val="00020EDB"/>
    <w:rsid w:val="00020F5F"/>
    <w:rsid w:val="000259F2"/>
    <w:rsid w:val="0005330C"/>
    <w:rsid w:val="00053FE1"/>
    <w:rsid w:val="00084CD1"/>
    <w:rsid w:val="0009476B"/>
    <w:rsid w:val="000A5579"/>
    <w:rsid w:val="000A68E8"/>
    <w:rsid w:val="000B7EE0"/>
    <w:rsid w:val="000C0916"/>
    <w:rsid w:val="000C3FD8"/>
    <w:rsid w:val="000C5510"/>
    <w:rsid w:val="000C5944"/>
    <w:rsid w:val="000D69F2"/>
    <w:rsid w:val="001023FD"/>
    <w:rsid w:val="001142EA"/>
    <w:rsid w:val="00124A44"/>
    <w:rsid w:val="00141837"/>
    <w:rsid w:val="0014322A"/>
    <w:rsid w:val="00155B07"/>
    <w:rsid w:val="00170C8C"/>
    <w:rsid w:val="00176D67"/>
    <w:rsid w:val="00183421"/>
    <w:rsid w:val="00184CE2"/>
    <w:rsid w:val="0019194D"/>
    <w:rsid w:val="00197727"/>
    <w:rsid w:val="001A6434"/>
    <w:rsid w:val="001D5802"/>
    <w:rsid w:val="001E2372"/>
    <w:rsid w:val="00216B64"/>
    <w:rsid w:val="00216D13"/>
    <w:rsid w:val="00270ECD"/>
    <w:rsid w:val="00284B88"/>
    <w:rsid w:val="002853B4"/>
    <w:rsid w:val="00292C14"/>
    <w:rsid w:val="002A2FC7"/>
    <w:rsid w:val="002A4CD9"/>
    <w:rsid w:val="002C62CA"/>
    <w:rsid w:val="002D3555"/>
    <w:rsid w:val="002F5C8A"/>
    <w:rsid w:val="0030366E"/>
    <w:rsid w:val="0030411C"/>
    <w:rsid w:val="003107FB"/>
    <w:rsid w:val="003310D5"/>
    <w:rsid w:val="003334F0"/>
    <w:rsid w:val="00350BC4"/>
    <w:rsid w:val="00351B24"/>
    <w:rsid w:val="00361D8E"/>
    <w:rsid w:val="00365632"/>
    <w:rsid w:val="00392FAA"/>
    <w:rsid w:val="0039776A"/>
    <w:rsid w:val="003C0DEE"/>
    <w:rsid w:val="003D3A5A"/>
    <w:rsid w:val="003D64A7"/>
    <w:rsid w:val="003F44ED"/>
    <w:rsid w:val="00416BA8"/>
    <w:rsid w:val="00434CD0"/>
    <w:rsid w:val="00434D6F"/>
    <w:rsid w:val="0045150F"/>
    <w:rsid w:val="00474F08"/>
    <w:rsid w:val="00475894"/>
    <w:rsid w:val="004934B9"/>
    <w:rsid w:val="004A4AC0"/>
    <w:rsid w:val="004C2CF4"/>
    <w:rsid w:val="004C3FCA"/>
    <w:rsid w:val="004D2C73"/>
    <w:rsid w:val="004F6022"/>
    <w:rsid w:val="0050349A"/>
    <w:rsid w:val="00511C2D"/>
    <w:rsid w:val="00521E02"/>
    <w:rsid w:val="00526275"/>
    <w:rsid w:val="00533724"/>
    <w:rsid w:val="00536613"/>
    <w:rsid w:val="00593BE4"/>
    <w:rsid w:val="0059735D"/>
    <w:rsid w:val="005A4AF5"/>
    <w:rsid w:val="005D0609"/>
    <w:rsid w:val="005D0BCD"/>
    <w:rsid w:val="006037F4"/>
    <w:rsid w:val="00604DF9"/>
    <w:rsid w:val="00606F67"/>
    <w:rsid w:val="00607620"/>
    <w:rsid w:val="006107CF"/>
    <w:rsid w:val="006132D5"/>
    <w:rsid w:val="00623AB1"/>
    <w:rsid w:val="00633982"/>
    <w:rsid w:val="00636027"/>
    <w:rsid w:val="00640FF5"/>
    <w:rsid w:val="0064279A"/>
    <w:rsid w:val="00645875"/>
    <w:rsid w:val="0065567B"/>
    <w:rsid w:val="006624E2"/>
    <w:rsid w:val="006632A7"/>
    <w:rsid w:val="00672E80"/>
    <w:rsid w:val="006A2524"/>
    <w:rsid w:val="006A3191"/>
    <w:rsid w:val="006F07D9"/>
    <w:rsid w:val="006F6B5A"/>
    <w:rsid w:val="006F74B8"/>
    <w:rsid w:val="007064BB"/>
    <w:rsid w:val="00735A3C"/>
    <w:rsid w:val="00740E6F"/>
    <w:rsid w:val="0074601F"/>
    <w:rsid w:val="00752961"/>
    <w:rsid w:val="00752D8E"/>
    <w:rsid w:val="0075339D"/>
    <w:rsid w:val="00753644"/>
    <w:rsid w:val="007575FE"/>
    <w:rsid w:val="007620A2"/>
    <w:rsid w:val="0076353F"/>
    <w:rsid w:val="0077252A"/>
    <w:rsid w:val="00772664"/>
    <w:rsid w:val="00773BA5"/>
    <w:rsid w:val="00780B63"/>
    <w:rsid w:val="00785656"/>
    <w:rsid w:val="007A7178"/>
    <w:rsid w:val="007B125B"/>
    <w:rsid w:val="007C52E6"/>
    <w:rsid w:val="007C5A1D"/>
    <w:rsid w:val="007D0463"/>
    <w:rsid w:val="007D5260"/>
    <w:rsid w:val="007D544B"/>
    <w:rsid w:val="007E41DD"/>
    <w:rsid w:val="00802EEE"/>
    <w:rsid w:val="008068E0"/>
    <w:rsid w:val="008306FB"/>
    <w:rsid w:val="00831B68"/>
    <w:rsid w:val="00846614"/>
    <w:rsid w:val="00862796"/>
    <w:rsid w:val="00866926"/>
    <w:rsid w:val="0086768E"/>
    <w:rsid w:val="00873F2D"/>
    <w:rsid w:val="00881F86"/>
    <w:rsid w:val="00887AEE"/>
    <w:rsid w:val="00893C09"/>
    <w:rsid w:val="00896955"/>
    <w:rsid w:val="008B42E4"/>
    <w:rsid w:val="008C3473"/>
    <w:rsid w:val="008D362A"/>
    <w:rsid w:val="008D387D"/>
    <w:rsid w:val="008E4F34"/>
    <w:rsid w:val="008F5E8B"/>
    <w:rsid w:val="0090444A"/>
    <w:rsid w:val="00952D07"/>
    <w:rsid w:val="00955D47"/>
    <w:rsid w:val="0098590E"/>
    <w:rsid w:val="009C02BB"/>
    <w:rsid w:val="009E2C5F"/>
    <w:rsid w:val="009E7B39"/>
    <w:rsid w:val="009F09DD"/>
    <w:rsid w:val="009F0A89"/>
    <w:rsid w:val="009F47AD"/>
    <w:rsid w:val="00A269F0"/>
    <w:rsid w:val="00A36FC1"/>
    <w:rsid w:val="00A37763"/>
    <w:rsid w:val="00A50BBE"/>
    <w:rsid w:val="00A6087B"/>
    <w:rsid w:val="00A66D23"/>
    <w:rsid w:val="00A75947"/>
    <w:rsid w:val="00A81C72"/>
    <w:rsid w:val="00AB1AB3"/>
    <w:rsid w:val="00AB593C"/>
    <w:rsid w:val="00AD1090"/>
    <w:rsid w:val="00AD25A5"/>
    <w:rsid w:val="00B01D81"/>
    <w:rsid w:val="00B165BA"/>
    <w:rsid w:val="00B21119"/>
    <w:rsid w:val="00B31B3B"/>
    <w:rsid w:val="00B45603"/>
    <w:rsid w:val="00B615AE"/>
    <w:rsid w:val="00B617A9"/>
    <w:rsid w:val="00B75216"/>
    <w:rsid w:val="00B86291"/>
    <w:rsid w:val="00B93E43"/>
    <w:rsid w:val="00BA2E8B"/>
    <w:rsid w:val="00BB5D31"/>
    <w:rsid w:val="00BC4260"/>
    <w:rsid w:val="00BD2A62"/>
    <w:rsid w:val="00BD54B2"/>
    <w:rsid w:val="00BE0C3F"/>
    <w:rsid w:val="00BF2222"/>
    <w:rsid w:val="00BF5530"/>
    <w:rsid w:val="00C01F5E"/>
    <w:rsid w:val="00C03AC1"/>
    <w:rsid w:val="00C04D6E"/>
    <w:rsid w:val="00C051A7"/>
    <w:rsid w:val="00C326DB"/>
    <w:rsid w:val="00C36B9F"/>
    <w:rsid w:val="00C44643"/>
    <w:rsid w:val="00C44753"/>
    <w:rsid w:val="00C62B05"/>
    <w:rsid w:val="00C74538"/>
    <w:rsid w:val="00CA6FE6"/>
    <w:rsid w:val="00CB39E6"/>
    <w:rsid w:val="00CC52C5"/>
    <w:rsid w:val="00CE0747"/>
    <w:rsid w:val="00CE2E81"/>
    <w:rsid w:val="00CE55E3"/>
    <w:rsid w:val="00CE6127"/>
    <w:rsid w:val="00CF254D"/>
    <w:rsid w:val="00D005D4"/>
    <w:rsid w:val="00D05D98"/>
    <w:rsid w:val="00D0664D"/>
    <w:rsid w:val="00D22E66"/>
    <w:rsid w:val="00D25E1A"/>
    <w:rsid w:val="00D36EE9"/>
    <w:rsid w:val="00D9057F"/>
    <w:rsid w:val="00D918CA"/>
    <w:rsid w:val="00D92F75"/>
    <w:rsid w:val="00DA2903"/>
    <w:rsid w:val="00DB0A3C"/>
    <w:rsid w:val="00DB0A5A"/>
    <w:rsid w:val="00DB7968"/>
    <w:rsid w:val="00DD4ACF"/>
    <w:rsid w:val="00DF32F7"/>
    <w:rsid w:val="00E14478"/>
    <w:rsid w:val="00E2052C"/>
    <w:rsid w:val="00E22109"/>
    <w:rsid w:val="00E2535A"/>
    <w:rsid w:val="00E66CA0"/>
    <w:rsid w:val="00E71B2A"/>
    <w:rsid w:val="00E85E8A"/>
    <w:rsid w:val="00E86B6C"/>
    <w:rsid w:val="00EA4C44"/>
    <w:rsid w:val="00EB13C9"/>
    <w:rsid w:val="00EC1B6B"/>
    <w:rsid w:val="00EC1D04"/>
    <w:rsid w:val="00EC7214"/>
    <w:rsid w:val="00EE0089"/>
    <w:rsid w:val="00EE3EBD"/>
    <w:rsid w:val="00F07043"/>
    <w:rsid w:val="00F27527"/>
    <w:rsid w:val="00F32BD3"/>
    <w:rsid w:val="00F330E1"/>
    <w:rsid w:val="00F56F56"/>
    <w:rsid w:val="00F73EB7"/>
    <w:rsid w:val="00F93031"/>
    <w:rsid w:val="00F93B10"/>
    <w:rsid w:val="00F963C5"/>
    <w:rsid w:val="00FA6374"/>
    <w:rsid w:val="00FC4762"/>
    <w:rsid w:val="00FE2EF8"/>
    <w:rsid w:val="00FE4794"/>
    <w:rsid w:val="00FE660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70D2B"/>
  <w15:chartTrackingRefBased/>
  <w15:docId w15:val="{FC0A7485-F650-4912-90F0-78DFEE31E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48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48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48A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48A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048A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048A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48A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48A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48A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8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48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48A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48A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048A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048A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48A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48A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48A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48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8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8A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48A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48A5"/>
    <w:pPr>
      <w:spacing w:before="160"/>
      <w:jc w:val="center"/>
    </w:pPr>
    <w:rPr>
      <w:i/>
      <w:iCs/>
      <w:color w:val="404040" w:themeColor="text1" w:themeTint="BF"/>
    </w:rPr>
  </w:style>
  <w:style w:type="character" w:customStyle="1" w:styleId="QuoteChar">
    <w:name w:val="Quote Char"/>
    <w:basedOn w:val="DefaultParagraphFont"/>
    <w:link w:val="Quote"/>
    <w:uiPriority w:val="29"/>
    <w:rsid w:val="000048A5"/>
    <w:rPr>
      <w:i/>
      <w:iCs/>
      <w:color w:val="404040" w:themeColor="text1" w:themeTint="BF"/>
    </w:rPr>
  </w:style>
  <w:style w:type="paragraph" w:styleId="ListParagraph">
    <w:name w:val="List Paragraph"/>
    <w:basedOn w:val="Normal"/>
    <w:uiPriority w:val="34"/>
    <w:qFormat/>
    <w:rsid w:val="000048A5"/>
    <w:pPr>
      <w:ind w:left="720"/>
      <w:contextualSpacing/>
    </w:pPr>
  </w:style>
  <w:style w:type="character" w:styleId="IntenseEmphasis">
    <w:name w:val="Intense Emphasis"/>
    <w:basedOn w:val="DefaultParagraphFont"/>
    <w:uiPriority w:val="21"/>
    <w:qFormat/>
    <w:rsid w:val="000048A5"/>
    <w:rPr>
      <w:i/>
      <w:iCs/>
      <w:color w:val="0F4761" w:themeColor="accent1" w:themeShade="BF"/>
    </w:rPr>
  </w:style>
  <w:style w:type="paragraph" w:styleId="IntenseQuote">
    <w:name w:val="Intense Quote"/>
    <w:basedOn w:val="Normal"/>
    <w:next w:val="Normal"/>
    <w:link w:val="IntenseQuoteChar"/>
    <w:uiPriority w:val="30"/>
    <w:qFormat/>
    <w:rsid w:val="000048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48A5"/>
    <w:rPr>
      <w:i/>
      <w:iCs/>
      <w:color w:val="0F4761" w:themeColor="accent1" w:themeShade="BF"/>
    </w:rPr>
  </w:style>
  <w:style w:type="character" w:styleId="IntenseReference">
    <w:name w:val="Intense Reference"/>
    <w:basedOn w:val="DefaultParagraphFont"/>
    <w:uiPriority w:val="32"/>
    <w:qFormat/>
    <w:rsid w:val="000048A5"/>
    <w:rPr>
      <w:b/>
      <w:bCs/>
      <w:smallCaps/>
      <w:color w:val="0F4761" w:themeColor="accent1" w:themeShade="BF"/>
      <w:spacing w:val="5"/>
    </w:rPr>
  </w:style>
  <w:style w:type="character" w:styleId="Hyperlink">
    <w:name w:val="Hyperlink"/>
    <w:basedOn w:val="DefaultParagraphFont"/>
    <w:uiPriority w:val="99"/>
    <w:unhideWhenUsed/>
    <w:rsid w:val="000048A5"/>
    <w:rPr>
      <w:color w:val="467886" w:themeColor="hyperlink"/>
      <w:u w:val="single"/>
    </w:rPr>
  </w:style>
  <w:style w:type="character" w:styleId="UnresolvedMention">
    <w:name w:val="Unresolved Mention"/>
    <w:basedOn w:val="DefaultParagraphFont"/>
    <w:uiPriority w:val="99"/>
    <w:semiHidden/>
    <w:unhideWhenUsed/>
    <w:rsid w:val="000048A5"/>
    <w:rPr>
      <w:color w:val="605E5C"/>
      <w:shd w:val="clear" w:color="auto" w:fill="E1DFDD"/>
    </w:rPr>
  </w:style>
  <w:style w:type="paragraph" w:customStyle="1" w:styleId="Default">
    <w:name w:val="Default"/>
    <w:rsid w:val="00DF32F7"/>
    <w:pPr>
      <w:autoSpaceDE w:val="0"/>
      <w:autoSpaceDN w:val="0"/>
      <w:adjustRightInd w:val="0"/>
      <w:spacing w:after="0" w:line="240" w:lineRule="auto"/>
    </w:pPr>
    <w:rPr>
      <w:rFonts w:ascii="Times New Roman" w:hAnsi="Times New Roman" w:cs="Times New Roman"/>
      <w:color w:val="000000"/>
      <w:kern w:val="0"/>
      <w:sz w:val="24"/>
    </w:rPr>
  </w:style>
  <w:style w:type="paragraph" w:styleId="Header">
    <w:name w:val="header"/>
    <w:basedOn w:val="Normal"/>
    <w:link w:val="HeaderChar"/>
    <w:uiPriority w:val="99"/>
    <w:unhideWhenUsed/>
    <w:rsid w:val="00EC72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7214"/>
  </w:style>
  <w:style w:type="paragraph" w:styleId="Footer">
    <w:name w:val="footer"/>
    <w:basedOn w:val="Normal"/>
    <w:link w:val="FooterChar"/>
    <w:uiPriority w:val="99"/>
    <w:unhideWhenUsed/>
    <w:rsid w:val="00EC721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7214"/>
  </w:style>
  <w:style w:type="paragraph" w:styleId="FootnoteText">
    <w:name w:val="footnote text"/>
    <w:basedOn w:val="Normal"/>
    <w:link w:val="FootnoteTextChar"/>
    <w:uiPriority w:val="99"/>
    <w:semiHidden/>
    <w:unhideWhenUsed/>
    <w:rsid w:val="00C051A7"/>
    <w:pPr>
      <w:spacing w:after="0" w:line="240" w:lineRule="auto"/>
    </w:pPr>
    <w:rPr>
      <w:szCs w:val="20"/>
    </w:rPr>
  </w:style>
  <w:style w:type="character" w:customStyle="1" w:styleId="FootnoteTextChar">
    <w:name w:val="Footnote Text Char"/>
    <w:basedOn w:val="DefaultParagraphFont"/>
    <w:link w:val="FootnoteText"/>
    <w:uiPriority w:val="99"/>
    <w:semiHidden/>
    <w:rsid w:val="00C051A7"/>
    <w:rPr>
      <w:szCs w:val="20"/>
    </w:rPr>
  </w:style>
  <w:style w:type="character" w:styleId="FootnoteReference">
    <w:name w:val="footnote reference"/>
    <w:basedOn w:val="DefaultParagraphFont"/>
    <w:uiPriority w:val="99"/>
    <w:semiHidden/>
    <w:unhideWhenUsed/>
    <w:rsid w:val="00C051A7"/>
    <w:rPr>
      <w:vertAlign w:val="superscript"/>
    </w:rPr>
  </w:style>
  <w:style w:type="character" w:styleId="CommentReference">
    <w:name w:val="annotation reference"/>
    <w:basedOn w:val="DefaultParagraphFont"/>
    <w:uiPriority w:val="99"/>
    <w:semiHidden/>
    <w:unhideWhenUsed/>
    <w:rsid w:val="007064BB"/>
    <w:rPr>
      <w:sz w:val="16"/>
      <w:szCs w:val="16"/>
    </w:rPr>
  </w:style>
  <w:style w:type="paragraph" w:styleId="CommentText">
    <w:name w:val="annotation text"/>
    <w:basedOn w:val="Normal"/>
    <w:link w:val="CommentTextChar"/>
    <w:uiPriority w:val="99"/>
    <w:unhideWhenUsed/>
    <w:rsid w:val="007064BB"/>
    <w:pPr>
      <w:spacing w:line="240" w:lineRule="auto"/>
    </w:pPr>
    <w:rPr>
      <w:szCs w:val="20"/>
    </w:rPr>
  </w:style>
  <w:style w:type="character" w:customStyle="1" w:styleId="CommentTextChar">
    <w:name w:val="Comment Text Char"/>
    <w:basedOn w:val="DefaultParagraphFont"/>
    <w:link w:val="CommentText"/>
    <w:uiPriority w:val="99"/>
    <w:rsid w:val="007064BB"/>
    <w:rPr>
      <w:szCs w:val="20"/>
    </w:rPr>
  </w:style>
  <w:style w:type="paragraph" w:styleId="CommentSubject">
    <w:name w:val="annotation subject"/>
    <w:basedOn w:val="CommentText"/>
    <w:next w:val="CommentText"/>
    <w:link w:val="CommentSubjectChar"/>
    <w:uiPriority w:val="99"/>
    <w:semiHidden/>
    <w:unhideWhenUsed/>
    <w:rsid w:val="007064BB"/>
    <w:rPr>
      <w:b/>
      <w:bCs/>
    </w:rPr>
  </w:style>
  <w:style w:type="character" w:customStyle="1" w:styleId="CommentSubjectChar">
    <w:name w:val="Comment Subject Char"/>
    <w:basedOn w:val="CommentTextChar"/>
    <w:link w:val="CommentSubject"/>
    <w:uiPriority w:val="99"/>
    <w:semiHidden/>
    <w:rsid w:val="007064BB"/>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285593">
      <w:bodyDiv w:val="1"/>
      <w:marLeft w:val="0"/>
      <w:marRight w:val="0"/>
      <w:marTop w:val="0"/>
      <w:marBottom w:val="0"/>
      <w:divBdr>
        <w:top w:val="none" w:sz="0" w:space="0" w:color="auto"/>
        <w:left w:val="none" w:sz="0" w:space="0" w:color="auto"/>
        <w:bottom w:val="none" w:sz="0" w:space="0" w:color="auto"/>
        <w:right w:val="none" w:sz="0" w:space="0" w:color="auto"/>
      </w:divBdr>
    </w:div>
    <w:div w:id="1123768879">
      <w:bodyDiv w:val="1"/>
      <w:marLeft w:val="0"/>
      <w:marRight w:val="0"/>
      <w:marTop w:val="0"/>
      <w:marBottom w:val="0"/>
      <w:divBdr>
        <w:top w:val="none" w:sz="0" w:space="0" w:color="auto"/>
        <w:left w:val="none" w:sz="0" w:space="0" w:color="auto"/>
        <w:bottom w:val="none" w:sz="0" w:space="0" w:color="auto"/>
        <w:right w:val="none" w:sz="0" w:space="0" w:color="auto"/>
      </w:divBdr>
    </w:div>
    <w:div w:id="132285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274F3-0916-4063-A3D9-A7B7BE4D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1052</Words>
  <Characters>6103</Characters>
  <Application>Microsoft Office Word</Application>
  <DocSecurity>0</DocSecurity>
  <Lines>50</Lines>
  <Paragraphs>14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Kase | WALLESS</dc:creator>
  <cp:keywords/>
  <dc:description/>
  <cp:lastModifiedBy>Angela Kase | WALLESS</cp:lastModifiedBy>
  <cp:revision>4</cp:revision>
  <dcterms:created xsi:type="dcterms:W3CDTF">2026-05-22T09:25:00Z</dcterms:created>
  <dcterms:modified xsi:type="dcterms:W3CDTF">2026-05-22T09:37:00Z</dcterms:modified>
</cp:coreProperties>
</file>